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1171" w14:textId="2E703B1C" w:rsidR="0096195A" w:rsidRDefault="0096195A" w:rsidP="0096195A">
      <w:pPr>
        <w:widowControl w:val="0"/>
        <w:suppressAutoHyphens/>
        <w:spacing w:line="360" w:lineRule="auto"/>
        <w:rPr>
          <w:rFonts w:eastAsia="SimSun" w:cstheme="minorHAnsi"/>
          <w:kern w:val="2"/>
          <w:u w:val="single"/>
          <w:lang w:eastAsia="hi-IN" w:bidi="hi-IN"/>
        </w:rPr>
      </w:pPr>
      <w:r>
        <w:rPr>
          <w:rFonts w:eastAsia="SimSun" w:cstheme="minorHAnsi"/>
          <w:kern w:val="2"/>
          <w:u w:val="single"/>
          <w:lang w:eastAsia="hi-IN" w:bidi="hi-IN"/>
        </w:rPr>
        <w:t>MORPHOLOGY UPDATE</w:t>
      </w:r>
    </w:p>
    <w:p w14:paraId="22987625" w14:textId="0BE80750" w:rsidR="0096195A" w:rsidRPr="0096195A" w:rsidRDefault="007C6186" w:rsidP="0096195A">
      <w:pPr>
        <w:widowControl w:val="0"/>
        <w:suppressAutoHyphens/>
        <w:spacing w:line="360" w:lineRule="auto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Atypical lymphocytes – from chickenpox to monkey pox</w:t>
      </w:r>
    </w:p>
    <w:p w14:paraId="10041BF1" w14:textId="0B0C5E82" w:rsidR="0096195A" w:rsidRPr="00435A57" w:rsidRDefault="007C6186" w:rsidP="0096195A">
      <w:pPr>
        <w:widowControl w:val="0"/>
        <w:suppressAutoHyphens/>
        <w:spacing w:line="360" w:lineRule="auto"/>
        <w:rPr>
          <w:rFonts w:eastAsia="SimSun" w:cstheme="minorHAnsi"/>
          <w:kern w:val="2"/>
          <w:lang w:eastAsia="hi-IN" w:bidi="hi-IN"/>
        </w:rPr>
      </w:pPr>
      <w:bookmarkStart w:id="0" w:name="_Hlk82513252"/>
      <w:r>
        <w:rPr>
          <w:rFonts w:cstheme="minorHAnsi"/>
        </w:rPr>
        <w:t>Georg Nesr</w:t>
      </w:r>
      <w:r w:rsidR="008D70F5" w:rsidRPr="008D70F5">
        <w:rPr>
          <w:rFonts w:cstheme="minorHAnsi"/>
          <w:vertAlign w:val="superscript"/>
        </w:rPr>
        <w:t>1</w:t>
      </w:r>
      <w:r w:rsidR="008D70F5">
        <w:rPr>
          <w:rFonts w:cstheme="minorHAnsi"/>
        </w:rPr>
        <w:t xml:space="preserve"> </w:t>
      </w:r>
      <w:r w:rsidR="000B4E81">
        <w:rPr>
          <w:rFonts w:cstheme="minorHAnsi"/>
        </w:rPr>
        <w:t>Elizabeth Whittaker</w:t>
      </w:r>
      <w:r w:rsidR="000B4E81" w:rsidRPr="000B4E81">
        <w:rPr>
          <w:rFonts w:cstheme="minorHAnsi"/>
          <w:vertAlign w:val="superscript"/>
        </w:rPr>
        <w:t>2</w:t>
      </w:r>
      <w:r w:rsidR="000B4E81">
        <w:rPr>
          <w:rFonts w:cstheme="minorHAnsi"/>
        </w:rPr>
        <w:t xml:space="preserve"> </w:t>
      </w:r>
      <w:r w:rsidR="0096195A">
        <w:rPr>
          <w:rFonts w:cstheme="minorHAnsi"/>
        </w:rPr>
        <w:t>Barbara J. Bain</w:t>
      </w:r>
      <w:bookmarkEnd w:id="0"/>
      <w:r w:rsidR="000B4E81">
        <w:rPr>
          <w:rFonts w:cstheme="minorHAnsi"/>
          <w:vertAlign w:val="superscript"/>
        </w:rPr>
        <w:t>3</w:t>
      </w:r>
      <w:r>
        <w:rPr>
          <w:rFonts w:cstheme="minorHAnsi"/>
          <w:vertAlign w:val="superscript"/>
        </w:rPr>
        <w:t>,</w:t>
      </w:r>
      <w:r w:rsidR="000B4E81">
        <w:rPr>
          <w:rFonts w:cstheme="minorHAnsi"/>
          <w:vertAlign w:val="superscript"/>
        </w:rPr>
        <w:t>4</w:t>
      </w:r>
      <w:r w:rsidR="00435A57">
        <w:rPr>
          <w:rFonts w:eastAsia="SimSun" w:cstheme="minorHAnsi"/>
          <w:kern w:val="2"/>
          <w:vertAlign w:val="superscript"/>
          <w:lang w:eastAsia="hi-IN" w:bidi="hi-IN"/>
        </w:rPr>
        <w:t xml:space="preserve"> </w:t>
      </w:r>
    </w:p>
    <w:p w14:paraId="58CB1AF3" w14:textId="23E5FA7B" w:rsidR="004D5A00" w:rsidRDefault="004D5A00" w:rsidP="004D5A00">
      <w:pPr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</w:t>
      </w:r>
      <w:r w:rsidRPr="0002664E">
        <w:rPr>
          <w:rFonts w:ascii="Calibri" w:hAnsi="Calibri" w:cs="Calibri"/>
        </w:rPr>
        <w:t xml:space="preserve">Department of Paediatric Haematology, </w:t>
      </w:r>
      <w:bookmarkStart w:id="1" w:name="_Hlk119053573"/>
      <w:r w:rsidR="006177CD">
        <w:rPr>
          <w:rFonts w:eastAsia="Calibri" w:cstheme="minorHAnsi"/>
        </w:rPr>
        <w:t>Imperial College Healthcare NHS Trust</w:t>
      </w:r>
      <w:r w:rsidR="006177CD">
        <w:rPr>
          <w:rFonts w:ascii="Calibri" w:hAnsi="Calibri" w:cs="Calibri"/>
        </w:rPr>
        <w:t xml:space="preserve">, </w:t>
      </w:r>
      <w:r w:rsidRPr="0002664E">
        <w:rPr>
          <w:rFonts w:ascii="Calibri" w:hAnsi="Calibri" w:cs="Calibri"/>
        </w:rPr>
        <w:t xml:space="preserve">St Mary’s Hospital, Praed Street, London W2 1NY, </w:t>
      </w:r>
      <w:r>
        <w:rPr>
          <w:rFonts w:ascii="Calibri" w:hAnsi="Calibri" w:cs="Calibri"/>
        </w:rPr>
        <w:t>UK</w:t>
      </w:r>
      <w:bookmarkEnd w:id="1"/>
    </w:p>
    <w:p w14:paraId="48C718CD" w14:textId="2D52900D" w:rsidR="000B4E81" w:rsidRPr="0002664E" w:rsidRDefault="006A5AE7" w:rsidP="004D5A00">
      <w:pPr>
        <w:rPr>
          <w:rFonts w:cstheme="minorHAnsi"/>
        </w:rPr>
      </w:pPr>
      <w:r w:rsidRPr="006A5AE7">
        <w:rPr>
          <w:rFonts w:ascii="Calibri" w:hAnsi="Calibri" w:cs="Calibri"/>
          <w:vertAlign w:val="superscript"/>
        </w:rPr>
        <w:t>2</w:t>
      </w:r>
      <w:r w:rsidR="000B4E81">
        <w:rPr>
          <w:rFonts w:ascii="Calibri" w:hAnsi="Calibri" w:cs="Calibri"/>
        </w:rPr>
        <w:t>Department of Pae</w:t>
      </w:r>
      <w:r>
        <w:rPr>
          <w:rFonts w:ascii="Calibri" w:hAnsi="Calibri" w:cs="Calibri"/>
        </w:rPr>
        <w:t>d</w:t>
      </w:r>
      <w:r w:rsidR="000B4E81">
        <w:rPr>
          <w:rFonts w:ascii="Calibri" w:hAnsi="Calibri" w:cs="Calibri"/>
        </w:rPr>
        <w:t xml:space="preserve">iatrics, </w:t>
      </w:r>
      <w:r>
        <w:rPr>
          <w:rFonts w:eastAsia="Calibri" w:cstheme="minorHAnsi"/>
        </w:rPr>
        <w:t xml:space="preserve">Imperial College Healthcare NHS Trust, </w:t>
      </w:r>
      <w:r w:rsidR="000B4E81">
        <w:rPr>
          <w:rFonts w:ascii="Calibri" w:hAnsi="Calibri" w:cs="Calibri"/>
        </w:rPr>
        <w:t>St Mary’s Hosp</w:t>
      </w:r>
      <w:r>
        <w:rPr>
          <w:rFonts w:ascii="Calibri" w:hAnsi="Calibri" w:cs="Calibri"/>
        </w:rPr>
        <w:t>ital</w:t>
      </w:r>
      <w:r w:rsidR="000B4E81">
        <w:rPr>
          <w:rFonts w:ascii="Calibri" w:hAnsi="Calibri" w:cs="Calibri"/>
        </w:rPr>
        <w:t>, London W2 1NY</w:t>
      </w:r>
    </w:p>
    <w:p w14:paraId="673EFC36" w14:textId="2CB15019" w:rsidR="007F6167" w:rsidRDefault="000B4E81" w:rsidP="00024BA2">
      <w:pPr>
        <w:rPr>
          <w:rFonts w:eastAsia="Calibri" w:cstheme="minorHAnsi"/>
          <w:vertAlign w:val="superscript"/>
        </w:rPr>
      </w:pPr>
      <w:r>
        <w:rPr>
          <w:rFonts w:eastAsia="Calibri" w:cstheme="minorHAnsi"/>
          <w:vertAlign w:val="superscript"/>
        </w:rPr>
        <w:t>3</w:t>
      </w:r>
      <w:r w:rsidR="0096195A" w:rsidRPr="00477B22">
        <w:rPr>
          <w:rFonts w:eastAsia="Calibri" w:cstheme="minorHAnsi"/>
        </w:rPr>
        <w:t>Blood Sciences</w:t>
      </w:r>
      <w:r w:rsidR="0096195A">
        <w:rPr>
          <w:rFonts w:eastAsia="Calibri" w:cstheme="minorHAnsi"/>
        </w:rPr>
        <w:t xml:space="preserve">, </w:t>
      </w:r>
      <w:bookmarkStart w:id="2" w:name="_Hlk119055623"/>
      <w:r w:rsidR="0096195A">
        <w:rPr>
          <w:rFonts w:eastAsia="Calibri" w:cstheme="minorHAnsi"/>
        </w:rPr>
        <w:t>Imperial College Healthcare NHS Trust</w:t>
      </w:r>
      <w:bookmarkEnd w:id="2"/>
      <w:r w:rsidR="0096195A">
        <w:rPr>
          <w:rFonts w:eastAsia="Calibri" w:cstheme="minorHAnsi"/>
        </w:rPr>
        <w:t>, St Mary’s Hospital, Praed Street, London W2 1NY, UK</w:t>
      </w:r>
    </w:p>
    <w:p w14:paraId="7ABE80CC" w14:textId="1534C13D" w:rsidR="0096195A" w:rsidRDefault="000B4E81" w:rsidP="0096195A">
      <w:pPr>
        <w:shd w:val="clear" w:color="auto" w:fill="FFFFFF"/>
        <w:rPr>
          <w:rFonts w:eastAsia="Calibri" w:cstheme="minorHAnsi"/>
        </w:rPr>
      </w:pPr>
      <w:r>
        <w:rPr>
          <w:rFonts w:eastAsia="Calibri" w:cstheme="minorHAnsi"/>
          <w:vertAlign w:val="superscript"/>
        </w:rPr>
        <w:t>4</w:t>
      </w:r>
      <w:r w:rsidR="0096195A">
        <w:rPr>
          <w:rFonts w:eastAsia="Calibri" w:cstheme="minorHAnsi"/>
        </w:rPr>
        <w:t>Centre for Haematology, St Mary’s Hospital Campus of Imperial College Faculty of Medicine, St Mary’s Hospital, London, W2 1NY, UK</w:t>
      </w:r>
    </w:p>
    <w:p w14:paraId="70734F31" w14:textId="22985258" w:rsidR="0096195A" w:rsidRDefault="0096195A" w:rsidP="00AB6842">
      <w:pPr>
        <w:shd w:val="clear" w:color="auto" w:fill="FFFFFF"/>
        <w:rPr>
          <w:rFonts w:eastAsia="Calibri" w:cstheme="minorHAnsi"/>
        </w:rPr>
      </w:pPr>
      <w:r>
        <w:rPr>
          <w:rFonts w:eastAsia="Calibri" w:cstheme="minorHAnsi"/>
        </w:rPr>
        <w:t>Correspondence</w:t>
      </w:r>
    </w:p>
    <w:p w14:paraId="0C9FCF38" w14:textId="77777777" w:rsidR="00623644" w:rsidRDefault="0096195A" w:rsidP="00A168F5">
      <w:pPr>
        <w:rPr>
          <w:rStyle w:val="Hyperlink"/>
          <w:rFonts w:eastAsia="Calibri" w:cstheme="minorHAnsi"/>
        </w:rPr>
      </w:pPr>
      <w:r>
        <w:rPr>
          <w:rFonts w:eastAsia="Calibri" w:cstheme="minorHAnsi"/>
        </w:rPr>
        <w:t xml:space="preserve">Barbara J. Bain, Blood Sciences, </w:t>
      </w:r>
      <w:bookmarkStart w:id="3" w:name="_Hlk75504606"/>
      <w:r>
        <w:rPr>
          <w:rFonts w:eastAsia="Calibri" w:cstheme="minorHAnsi"/>
        </w:rPr>
        <w:t xml:space="preserve">St Mary’s Hospital, </w:t>
      </w:r>
      <w:bookmarkEnd w:id="3"/>
      <w:r>
        <w:rPr>
          <w:rFonts w:eastAsia="Calibri" w:cstheme="minorHAnsi"/>
        </w:rPr>
        <w:t xml:space="preserve">Praed Street, London, W2 1NY, United Kingdom.                                                                                                                                      </w:t>
      </w:r>
      <w:hyperlink r:id="rId5" w:history="1">
        <w:r>
          <w:rPr>
            <w:rStyle w:val="Hyperlink"/>
            <w:rFonts w:eastAsia="Calibri" w:cstheme="minorHAnsi"/>
          </w:rPr>
          <w:t>b.bain@imperial.ac.uk</w:t>
        </w:r>
      </w:hyperlink>
    </w:p>
    <w:p w14:paraId="27FFE629" w14:textId="77777777" w:rsidR="00623644" w:rsidRDefault="00623644" w:rsidP="00A168F5">
      <w:pPr>
        <w:rPr>
          <w:rStyle w:val="Hyperlink"/>
          <w:rFonts w:eastAsia="Calibri" w:cstheme="minorHAnsi"/>
        </w:rPr>
      </w:pPr>
    </w:p>
    <w:p w14:paraId="0796E015" w14:textId="77777777" w:rsidR="00C64C9B" w:rsidRDefault="00623644" w:rsidP="00A168F5">
      <w:pPr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76B54470" wp14:editId="3F6C84C6">
            <wp:extent cx="2419350" cy="1814513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884" cy="181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noProof/>
        </w:rPr>
        <w:drawing>
          <wp:inline distT="0" distB="0" distL="0" distR="0" wp14:anchorId="5DC1F4ED" wp14:editId="7208AF05">
            <wp:extent cx="2438400" cy="1828800"/>
            <wp:effectExtent l="0" t="0" r="0" b="0"/>
            <wp:docPr id="2" name="Picture 2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abric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55" cy="182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E37C" w14:textId="1BA9B437" w:rsidR="00024BA2" w:rsidRDefault="00C64C9B" w:rsidP="00A168F5">
      <w:pPr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220F9CEE" wp14:editId="5B90CD94">
            <wp:extent cx="2425700" cy="1819275"/>
            <wp:effectExtent l="0" t="0" r="0" b="9525"/>
            <wp:docPr id="3" name="Picture 3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abric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17" cy="182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noProof/>
        </w:rPr>
        <w:drawing>
          <wp:inline distT="0" distB="0" distL="0" distR="0" wp14:anchorId="587359F3" wp14:editId="74DA647E">
            <wp:extent cx="2438400" cy="1828800"/>
            <wp:effectExtent l="0" t="0" r="0" b="0"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605" cy="183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95A">
        <w:rPr>
          <w:rFonts w:eastAsia="Calibri" w:cstheme="minorHAnsi"/>
        </w:rPr>
        <w:tab/>
      </w:r>
    </w:p>
    <w:p w14:paraId="4D1E00BB" w14:textId="5C899549" w:rsidR="00126F60" w:rsidRDefault="00126F60" w:rsidP="0096195A">
      <w:pPr>
        <w:rPr>
          <w:rFonts w:eastAsia="Calibri" w:cstheme="minorHAnsi"/>
        </w:rPr>
      </w:pPr>
      <w:r w:rsidRPr="00126F60">
        <w:rPr>
          <w:rFonts w:eastAsia="Calibri" w:cstheme="minorHAnsi"/>
          <w:highlight w:val="yellow"/>
        </w:rPr>
        <w:t>Message to copy-editor. The proposed page layout is shown. Morphology Update has no figure numbers or legends.</w:t>
      </w:r>
    </w:p>
    <w:p w14:paraId="4261BC15" w14:textId="5A3F654C" w:rsidR="00930368" w:rsidRDefault="001441E4" w:rsidP="0096195A">
      <w:pPr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Atypical lymphocytes, also known as variant lymphocytes, are well recognized as a feature of viral infections, </w:t>
      </w:r>
      <w:r w:rsidR="005A5C8F">
        <w:rPr>
          <w:rFonts w:eastAsia="Calibri" w:cstheme="minorHAnsi"/>
        </w:rPr>
        <w:t>often but not always associated with lymphocytosis</w:t>
      </w:r>
      <w:r>
        <w:rPr>
          <w:rFonts w:eastAsia="Calibri" w:cstheme="minorHAnsi"/>
        </w:rPr>
        <w:t>.</w:t>
      </w:r>
      <w:r w:rsidR="005A5C8F">
        <w:rPr>
          <w:rFonts w:eastAsia="Calibri" w:cstheme="minorHAnsi"/>
        </w:rPr>
        <w:t xml:space="preserve"> Chickenpox, due to the varicella</w:t>
      </w:r>
      <w:r w:rsidR="00623644">
        <w:rPr>
          <w:rFonts w:eastAsia="Calibri" w:cstheme="minorHAnsi"/>
        </w:rPr>
        <w:t>/zoster</w:t>
      </w:r>
      <w:r w:rsidR="005A5C8F">
        <w:rPr>
          <w:rFonts w:eastAsia="Calibri" w:cstheme="minorHAnsi"/>
        </w:rPr>
        <w:t xml:space="preserve"> virus</w:t>
      </w:r>
      <w:r w:rsidR="00003FB6">
        <w:rPr>
          <w:rFonts w:eastAsia="Calibri" w:cstheme="minorHAnsi"/>
        </w:rPr>
        <w:t>,</w:t>
      </w:r>
      <w:r w:rsidR="005A5C8F">
        <w:rPr>
          <w:rFonts w:eastAsia="Calibri" w:cstheme="minorHAnsi"/>
        </w:rPr>
        <w:t xml:space="preserve"> is a </w:t>
      </w:r>
      <w:proofErr w:type="spellStart"/>
      <w:proofErr w:type="gramStart"/>
      <w:r w:rsidR="005A5C8F">
        <w:rPr>
          <w:rFonts w:eastAsia="Calibri" w:cstheme="minorHAnsi"/>
        </w:rPr>
        <w:t>well established</w:t>
      </w:r>
      <w:proofErr w:type="spellEnd"/>
      <w:proofErr w:type="gramEnd"/>
      <w:r w:rsidR="005A5C8F">
        <w:rPr>
          <w:rFonts w:eastAsia="Calibri" w:cstheme="minorHAnsi"/>
        </w:rPr>
        <w:t xml:space="preserve"> cause. Monkeypox, now renamed </w:t>
      </w:r>
      <w:proofErr w:type="spellStart"/>
      <w:r w:rsidR="005A5C8F">
        <w:rPr>
          <w:rFonts w:eastAsia="Calibri" w:cstheme="minorHAnsi"/>
        </w:rPr>
        <w:t>mpox</w:t>
      </w:r>
      <w:proofErr w:type="spellEnd"/>
      <w:r w:rsidR="005A5C8F">
        <w:rPr>
          <w:rFonts w:eastAsia="Calibri" w:cstheme="minorHAnsi"/>
        </w:rPr>
        <w:t>, is the most recently recognized viral cause.</w:t>
      </w:r>
      <w:r w:rsidR="005A5C8F" w:rsidRPr="0024143D">
        <w:rPr>
          <w:rFonts w:eastAsia="Calibri" w:cstheme="minorHAnsi"/>
          <w:vertAlign w:val="superscript"/>
        </w:rPr>
        <w:t>1</w:t>
      </w:r>
    </w:p>
    <w:p w14:paraId="54A8B5E2" w14:textId="019493E1" w:rsidR="005A5C8F" w:rsidRDefault="005A5C8F" w:rsidP="008631C9">
      <w:pPr>
        <w:rPr>
          <w:rFonts w:eastAsia="Calibri" w:cstheme="minorHAnsi"/>
        </w:rPr>
      </w:pPr>
      <w:r>
        <w:rPr>
          <w:rFonts w:eastAsia="Calibri" w:cstheme="minorHAnsi"/>
        </w:rPr>
        <w:t xml:space="preserve">The upper two images (all images </w:t>
      </w:r>
      <w:r w:rsidR="00003FB6">
        <w:rPr>
          <w:rFonts w:eastAsia="Calibri" w:cstheme="minorHAnsi"/>
        </w:rPr>
        <w:t>×</w:t>
      </w:r>
      <w:r>
        <w:rPr>
          <w:rFonts w:eastAsia="Calibri" w:cstheme="minorHAnsi"/>
        </w:rPr>
        <w:t>100 objective</w:t>
      </w:r>
      <w:r w:rsidR="008631C9">
        <w:rPr>
          <w:rFonts w:eastAsia="Calibri" w:cstheme="minorHAnsi"/>
        </w:rPr>
        <w:t>)</w:t>
      </w:r>
      <w:r>
        <w:rPr>
          <w:rFonts w:eastAsia="Calibri" w:cstheme="minorHAnsi"/>
        </w:rPr>
        <w:t xml:space="preserve"> </w:t>
      </w:r>
      <w:r w:rsidR="00003FB6">
        <w:rPr>
          <w:rFonts w:eastAsia="Calibri" w:cstheme="minorHAnsi"/>
        </w:rPr>
        <w:t>show</w:t>
      </w:r>
      <w:r>
        <w:rPr>
          <w:rFonts w:eastAsia="Calibri" w:cstheme="minorHAnsi"/>
        </w:rPr>
        <w:t xml:space="preserve"> the blood film of </w:t>
      </w:r>
      <w:r w:rsidR="00003FB6" w:rsidRPr="008631C9">
        <w:rPr>
          <w:rFonts w:eastAsia="Calibri" w:cstheme="minorHAnsi"/>
        </w:rPr>
        <w:t>2</w:t>
      </w:r>
      <w:r w:rsidR="00003FB6">
        <w:rPr>
          <w:rFonts w:eastAsia="Calibri" w:cstheme="minorHAnsi"/>
        </w:rPr>
        <w:t>-</w:t>
      </w:r>
      <w:r w:rsidR="00003FB6" w:rsidRPr="008631C9">
        <w:rPr>
          <w:rFonts w:eastAsia="Calibri" w:cstheme="minorHAnsi"/>
        </w:rPr>
        <w:t>week</w:t>
      </w:r>
      <w:r w:rsidR="00003FB6">
        <w:rPr>
          <w:rFonts w:eastAsia="Calibri" w:cstheme="minorHAnsi"/>
        </w:rPr>
        <w:t>-</w:t>
      </w:r>
      <w:r w:rsidR="008631C9" w:rsidRPr="008631C9">
        <w:rPr>
          <w:rFonts w:eastAsia="Calibri" w:cstheme="minorHAnsi"/>
        </w:rPr>
        <w:t>old, term baby born to</w:t>
      </w:r>
      <w:r w:rsidR="00126F60">
        <w:rPr>
          <w:rFonts w:eastAsia="Calibri" w:cstheme="minorHAnsi"/>
        </w:rPr>
        <w:t xml:space="preserve"> a</w:t>
      </w:r>
      <w:r w:rsidR="008631C9" w:rsidRPr="008631C9">
        <w:rPr>
          <w:rFonts w:eastAsia="Calibri" w:cstheme="minorHAnsi"/>
        </w:rPr>
        <w:t xml:space="preserve"> G1P1 mother, presenting with a skin rash that started on day 10 of life.</w:t>
      </w:r>
      <w:r w:rsidR="009C5A14" w:rsidRPr="009C5A14">
        <w:rPr>
          <w:rFonts w:eastAsia="Calibri" w:cstheme="minorHAnsi"/>
          <w:vertAlign w:val="superscript"/>
        </w:rPr>
        <w:t>2</w:t>
      </w:r>
      <w:r w:rsidR="008631C9" w:rsidRPr="008631C9">
        <w:rPr>
          <w:rFonts w:eastAsia="Calibri" w:cstheme="minorHAnsi"/>
        </w:rPr>
        <w:t xml:space="preserve"> The rash was pustular/vesicular on </w:t>
      </w:r>
      <w:r w:rsidR="00003FB6">
        <w:rPr>
          <w:rFonts w:eastAsia="Calibri" w:cstheme="minorHAnsi"/>
        </w:rPr>
        <w:t xml:space="preserve">an </w:t>
      </w:r>
      <w:r w:rsidR="008631C9" w:rsidRPr="008631C9">
        <w:rPr>
          <w:rFonts w:eastAsia="Calibri" w:cstheme="minorHAnsi"/>
        </w:rPr>
        <w:t>erythematous base</w:t>
      </w:r>
      <w:r w:rsidR="00003FB6">
        <w:rPr>
          <w:rFonts w:eastAsia="Calibri" w:cstheme="minorHAnsi"/>
        </w:rPr>
        <w:t>,</w:t>
      </w:r>
      <w:r w:rsidR="008631C9" w:rsidRPr="008631C9">
        <w:rPr>
          <w:rFonts w:eastAsia="Calibri" w:cstheme="minorHAnsi"/>
        </w:rPr>
        <w:t xml:space="preserve"> affecting the limbs, buttocks, scalp, forehead</w:t>
      </w:r>
      <w:r w:rsidR="00623644">
        <w:rPr>
          <w:rFonts w:eastAsia="Calibri" w:cstheme="minorHAnsi"/>
        </w:rPr>
        <w:t>,</w:t>
      </w:r>
      <w:r w:rsidR="00003FB6">
        <w:rPr>
          <w:rFonts w:eastAsia="Calibri" w:cstheme="minorHAnsi"/>
        </w:rPr>
        <w:t xml:space="preserve"> and</w:t>
      </w:r>
      <w:r w:rsidR="00003FB6" w:rsidRPr="008631C9">
        <w:rPr>
          <w:rFonts w:eastAsia="Calibri" w:cstheme="minorHAnsi"/>
        </w:rPr>
        <w:t xml:space="preserve"> </w:t>
      </w:r>
      <w:r w:rsidR="008631C9" w:rsidRPr="008631C9">
        <w:rPr>
          <w:rFonts w:eastAsia="Calibri" w:cstheme="minorHAnsi"/>
        </w:rPr>
        <w:t xml:space="preserve">dorsum of the hands and palms, and sparing mucus membranes. </w:t>
      </w:r>
      <w:r w:rsidR="00003FB6">
        <w:rPr>
          <w:rFonts w:eastAsia="Calibri" w:cstheme="minorHAnsi"/>
        </w:rPr>
        <w:t>The b</w:t>
      </w:r>
      <w:r w:rsidR="00003FB6" w:rsidRPr="008631C9">
        <w:rPr>
          <w:rFonts w:eastAsia="Calibri" w:cstheme="minorHAnsi"/>
        </w:rPr>
        <w:t xml:space="preserve">aby </w:t>
      </w:r>
      <w:r w:rsidR="008631C9" w:rsidRPr="008631C9">
        <w:rPr>
          <w:rFonts w:eastAsia="Calibri" w:cstheme="minorHAnsi"/>
        </w:rPr>
        <w:t xml:space="preserve">then developed respiratory compromise requiring ventilation. </w:t>
      </w:r>
      <w:r w:rsidR="00126F60">
        <w:rPr>
          <w:rFonts w:eastAsia="Calibri" w:cstheme="minorHAnsi"/>
        </w:rPr>
        <w:t>C</w:t>
      </w:r>
      <w:r w:rsidR="008631C9" w:rsidRPr="008631C9">
        <w:rPr>
          <w:rFonts w:eastAsia="Calibri" w:cstheme="minorHAnsi"/>
        </w:rPr>
        <w:t xml:space="preserve">hest radiography </w:t>
      </w:r>
      <w:r w:rsidR="00003FB6">
        <w:rPr>
          <w:rFonts w:eastAsia="Calibri" w:cstheme="minorHAnsi"/>
        </w:rPr>
        <w:t>showed</w:t>
      </w:r>
      <w:r w:rsidR="00003FB6" w:rsidRPr="008631C9">
        <w:rPr>
          <w:rFonts w:eastAsia="Calibri" w:cstheme="minorHAnsi"/>
        </w:rPr>
        <w:t xml:space="preserve"> </w:t>
      </w:r>
      <w:r w:rsidR="008631C9" w:rsidRPr="008631C9">
        <w:rPr>
          <w:rFonts w:eastAsia="Calibri" w:cstheme="minorHAnsi"/>
        </w:rPr>
        <w:t xml:space="preserve">right upper lobe pneumonia. </w:t>
      </w:r>
      <w:r w:rsidR="00003FB6">
        <w:rPr>
          <w:rFonts w:eastAsia="Calibri" w:cstheme="minorHAnsi"/>
        </w:rPr>
        <w:t xml:space="preserve">The  blood count </w:t>
      </w:r>
      <w:r w:rsidR="00B7452A">
        <w:rPr>
          <w:rFonts w:eastAsia="Calibri" w:cstheme="minorHAnsi"/>
        </w:rPr>
        <w:t>showed white cell count 11.2 × 10</w:t>
      </w:r>
      <w:r w:rsidR="00B7452A" w:rsidRPr="00B7452A">
        <w:rPr>
          <w:rFonts w:eastAsia="Calibri" w:cstheme="minorHAnsi"/>
          <w:vertAlign w:val="superscript"/>
        </w:rPr>
        <w:t>9</w:t>
      </w:r>
      <w:r w:rsidR="00B7452A">
        <w:rPr>
          <w:rFonts w:eastAsia="Calibri" w:cstheme="minorHAnsi"/>
        </w:rPr>
        <w:t>/L, haemoglobin concentration 107 g/L, platelet count 45</w:t>
      </w:r>
      <w:r w:rsidR="00263B5D">
        <w:rPr>
          <w:rFonts w:eastAsia="Calibri" w:cstheme="minorHAnsi"/>
        </w:rPr>
        <w:t xml:space="preserve"> </w:t>
      </w:r>
      <w:r w:rsidR="00B7452A">
        <w:rPr>
          <w:rFonts w:eastAsia="Calibri" w:cstheme="minorHAnsi"/>
        </w:rPr>
        <w:t>× 10</w:t>
      </w:r>
      <w:r w:rsidR="00B7452A" w:rsidRPr="00B7452A">
        <w:rPr>
          <w:rFonts w:eastAsia="Calibri" w:cstheme="minorHAnsi"/>
          <w:vertAlign w:val="superscript"/>
        </w:rPr>
        <w:t>9</w:t>
      </w:r>
      <w:r w:rsidR="00B7452A">
        <w:rPr>
          <w:rFonts w:eastAsia="Calibri" w:cstheme="minorHAnsi"/>
        </w:rPr>
        <w:t>/L, neutrophils 4.8 × 10</w:t>
      </w:r>
      <w:r w:rsidR="00B7452A" w:rsidRPr="00B7452A">
        <w:rPr>
          <w:rFonts w:eastAsia="Calibri" w:cstheme="minorHAnsi"/>
          <w:vertAlign w:val="superscript"/>
        </w:rPr>
        <w:t>9</w:t>
      </w:r>
      <w:r w:rsidR="00B7452A">
        <w:rPr>
          <w:rFonts w:eastAsia="Calibri" w:cstheme="minorHAnsi"/>
        </w:rPr>
        <w:t>/L</w:t>
      </w:r>
      <w:r w:rsidR="002648AA">
        <w:rPr>
          <w:rFonts w:eastAsia="Calibri" w:cstheme="minorHAnsi"/>
        </w:rPr>
        <w:t>,</w:t>
      </w:r>
      <w:r w:rsidR="00B7452A">
        <w:rPr>
          <w:rFonts w:eastAsia="Calibri" w:cstheme="minorHAnsi"/>
        </w:rPr>
        <w:t xml:space="preserve"> and lymphocytes 5.5</w:t>
      </w:r>
      <w:r w:rsidR="00263B5D">
        <w:rPr>
          <w:rFonts w:eastAsia="Calibri" w:cstheme="minorHAnsi"/>
        </w:rPr>
        <w:t xml:space="preserve"> </w:t>
      </w:r>
      <w:r w:rsidR="00B7452A">
        <w:rPr>
          <w:rFonts w:eastAsia="Calibri" w:cstheme="minorHAnsi"/>
        </w:rPr>
        <w:t>× 10</w:t>
      </w:r>
      <w:r w:rsidR="00B7452A" w:rsidRPr="00B7452A">
        <w:rPr>
          <w:rFonts w:eastAsia="Calibri" w:cstheme="minorHAnsi"/>
          <w:vertAlign w:val="superscript"/>
        </w:rPr>
        <w:t>9</w:t>
      </w:r>
      <w:r w:rsidR="00B7452A">
        <w:rPr>
          <w:rFonts w:eastAsia="Calibri" w:cstheme="minorHAnsi"/>
        </w:rPr>
        <w:t>/L. The blood</w:t>
      </w:r>
      <w:r w:rsidR="00003FB6" w:rsidRPr="008631C9">
        <w:rPr>
          <w:rFonts w:eastAsia="Calibri" w:cstheme="minorHAnsi"/>
        </w:rPr>
        <w:t xml:space="preserve"> </w:t>
      </w:r>
      <w:r w:rsidR="008631C9" w:rsidRPr="008631C9">
        <w:rPr>
          <w:rFonts w:eastAsia="Calibri" w:cstheme="minorHAnsi"/>
        </w:rPr>
        <w:t xml:space="preserve">film </w:t>
      </w:r>
      <w:r w:rsidR="00B7452A">
        <w:rPr>
          <w:rFonts w:eastAsia="Calibri" w:cstheme="minorHAnsi"/>
        </w:rPr>
        <w:t>confirmed</w:t>
      </w:r>
      <w:r w:rsidR="008631C9" w:rsidRPr="008631C9">
        <w:rPr>
          <w:rFonts w:eastAsia="Calibri" w:cstheme="minorHAnsi"/>
        </w:rPr>
        <w:t xml:space="preserve"> thrombocytopenia</w:t>
      </w:r>
      <w:r w:rsidR="00B7452A">
        <w:rPr>
          <w:rFonts w:eastAsia="Calibri" w:cstheme="minorHAnsi"/>
        </w:rPr>
        <w:t xml:space="preserve"> and showed</w:t>
      </w:r>
      <w:r w:rsidR="008631C9" w:rsidRPr="008631C9">
        <w:rPr>
          <w:rFonts w:eastAsia="Calibri" w:cstheme="minorHAnsi"/>
        </w:rPr>
        <w:t xml:space="preserve"> </w:t>
      </w:r>
      <w:r w:rsidR="00B7452A">
        <w:rPr>
          <w:rFonts w:eastAsia="Calibri" w:cstheme="minorHAnsi"/>
        </w:rPr>
        <w:t xml:space="preserve">normocytic </w:t>
      </w:r>
      <w:r w:rsidR="008631C9" w:rsidRPr="008631C9">
        <w:rPr>
          <w:rFonts w:eastAsia="Calibri" w:cstheme="minorHAnsi"/>
        </w:rPr>
        <w:t xml:space="preserve">normochromic </w:t>
      </w:r>
      <w:r w:rsidR="00AD2DF0">
        <w:rPr>
          <w:rFonts w:eastAsia="Calibri" w:cstheme="minorHAnsi"/>
        </w:rPr>
        <w:t>red cells</w:t>
      </w:r>
      <w:r w:rsidR="008631C9" w:rsidRPr="008631C9">
        <w:rPr>
          <w:rFonts w:eastAsia="Calibri" w:cstheme="minorHAnsi"/>
        </w:rPr>
        <w:t>,</w:t>
      </w:r>
      <w:r w:rsidR="00623644">
        <w:rPr>
          <w:rFonts w:eastAsia="Calibri" w:cstheme="minorHAnsi"/>
        </w:rPr>
        <w:t xml:space="preserve"> </w:t>
      </w:r>
      <w:r w:rsidR="008631C9" w:rsidRPr="008631C9">
        <w:rPr>
          <w:rFonts w:eastAsia="Calibri" w:cstheme="minorHAnsi"/>
        </w:rPr>
        <w:t>left shifted myeloid series</w:t>
      </w:r>
      <w:r w:rsidR="002648AA">
        <w:rPr>
          <w:rFonts w:eastAsia="Calibri" w:cstheme="minorHAnsi"/>
        </w:rPr>
        <w:t>,</w:t>
      </w:r>
      <w:r w:rsidR="008631C9" w:rsidRPr="008631C9">
        <w:rPr>
          <w:rFonts w:eastAsia="Calibri" w:cstheme="minorHAnsi"/>
        </w:rPr>
        <w:t xml:space="preserve"> and reactive lymphocytes (</w:t>
      </w:r>
      <w:r w:rsidR="00003FB6">
        <w:rPr>
          <w:rFonts w:eastAsia="Calibri" w:cstheme="minorHAnsi"/>
        </w:rPr>
        <w:t>images</w:t>
      </w:r>
      <w:r w:rsidR="008631C9" w:rsidRPr="008631C9">
        <w:rPr>
          <w:rFonts w:eastAsia="Calibri" w:cstheme="minorHAnsi"/>
        </w:rPr>
        <w:t xml:space="preserve">). </w:t>
      </w:r>
      <w:r w:rsidR="00AD2DF0">
        <w:rPr>
          <w:rFonts w:eastAsia="Calibri" w:cstheme="minorHAnsi"/>
        </w:rPr>
        <w:t xml:space="preserve">PCR on </w:t>
      </w:r>
      <w:r w:rsidR="008631C9" w:rsidRPr="008631C9">
        <w:rPr>
          <w:rFonts w:eastAsia="Calibri" w:cstheme="minorHAnsi"/>
        </w:rPr>
        <w:t>swabs from skin lesions and throat swabs w</w:t>
      </w:r>
      <w:r w:rsidR="002648AA">
        <w:rPr>
          <w:rFonts w:eastAsia="Calibri" w:cstheme="minorHAnsi"/>
        </w:rPr>
        <w:t>as</w:t>
      </w:r>
      <w:r w:rsidR="008631C9" w:rsidRPr="008631C9">
        <w:rPr>
          <w:rFonts w:eastAsia="Calibri" w:cstheme="minorHAnsi"/>
        </w:rPr>
        <w:t xml:space="preserve"> positive for monkey pox (West African variant) and adenovirus. </w:t>
      </w:r>
      <w:r w:rsidR="00003FB6">
        <w:rPr>
          <w:rFonts w:eastAsia="Calibri" w:cstheme="minorHAnsi"/>
        </w:rPr>
        <w:t>The b</w:t>
      </w:r>
      <w:r w:rsidR="00003FB6" w:rsidRPr="008631C9">
        <w:rPr>
          <w:rFonts w:eastAsia="Calibri" w:cstheme="minorHAnsi"/>
        </w:rPr>
        <w:t xml:space="preserve">aby </w:t>
      </w:r>
      <w:r w:rsidR="008631C9" w:rsidRPr="008631C9">
        <w:rPr>
          <w:rFonts w:eastAsia="Calibri" w:cstheme="minorHAnsi"/>
        </w:rPr>
        <w:t xml:space="preserve">was treated with dual antivirals (tecovirimat and cidofovir) and broad spectrum </w:t>
      </w:r>
      <w:proofErr w:type="spellStart"/>
      <w:r w:rsidR="008631C9" w:rsidRPr="008631C9">
        <w:rPr>
          <w:rFonts w:eastAsia="Calibri" w:cstheme="minorHAnsi"/>
        </w:rPr>
        <w:t>antibacterials</w:t>
      </w:r>
      <w:proofErr w:type="spellEnd"/>
      <w:r w:rsidR="008631C9" w:rsidRPr="008631C9">
        <w:rPr>
          <w:rFonts w:eastAsia="Calibri" w:cstheme="minorHAnsi"/>
        </w:rPr>
        <w:t xml:space="preserve"> with subsequent improvement. Of note,</w:t>
      </w:r>
      <w:r w:rsidR="00BC543B">
        <w:rPr>
          <w:rFonts w:eastAsia="Calibri" w:cstheme="minorHAnsi"/>
        </w:rPr>
        <w:t xml:space="preserve"> as previously reported,</w:t>
      </w:r>
      <w:r w:rsidR="008631C9" w:rsidRPr="008631C9">
        <w:rPr>
          <w:rFonts w:eastAsia="Calibri" w:cstheme="minorHAnsi"/>
        </w:rPr>
        <w:t xml:space="preserve"> both parents had </w:t>
      </w:r>
      <w:r w:rsidR="00003FB6">
        <w:rPr>
          <w:rFonts w:eastAsia="Calibri" w:cstheme="minorHAnsi"/>
        </w:rPr>
        <w:t xml:space="preserve">a </w:t>
      </w:r>
      <w:r w:rsidR="008631C9" w:rsidRPr="008631C9">
        <w:rPr>
          <w:rFonts w:eastAsia="Calibri" w:cstheme="minorHAnsi"/>
        </w:rPr>
        <w:t>similar rash</w:t>
      </w:r>
      <w:r w:rsidR="00003FB6">
        <w:rPr>
          <w:rFonts w:eastAsia="Calibri" w:cstheme="minorHAnsi"/>
        </w:rPr>
        <w:t xml:space="preserve"> </w:t>
      </w:r>
      <w:r w:rsidR="008631C9" w:rsidRPr="008631C9">
        <w:rPr>
          <w:rFonts w:eastAsia="Calibri" w:cstheme="minorHAnsi"/>
        </w:rPr>
        <w:t>but had a milder clinical picture.</w:t>
      </w:r>
      <w:r w:rsidR="00BC543B" w:rsidRPr="00BC543B">
        <w:rPr>
          <w:rFonts w:eastAsia="Calibri" w:cstheme="minorHAnsi"/>
          <w:vertAlign w:val="superscript"/>
        </w:rPr>
        <w:t>2</w:t>
      </w:r>
    </w:p>
    <w:p w14:paraId="7A1FF618" w14:textId="56468165" w:rsidR="005A5C8F" w:rsidRDefault="005A5C8F" w:rsidP="0096195A">
      <w:pPr>
        <w:rPr>
          <w:rFonts w:eastAsia="Calibri" w:cstheme="minorHAnsi"/>
        </w:rPr>
      </w:pPr>
      <w:r>
        <w:rPr>
          <w:rFonts w:eastAsia="Calibri" w:cstheme="minorHAnsi"/>
        </w:rPr>
        <w:t>The lower two images are from</w:t>
      </w:r>
      <w:r w:rsidR="0024143D">
        <w:rPr>
          <w:rFonts w:eastAsia="Calibri" w:cstheme="minorHAnsi"/>
        </w:rPr>
        <w:t xml:space="preserve"> </w:t>
      </w:r>
      <w:r w:rsidR="00003FB6" w:rsidRPr="008631C9">
        <w:rPr>
          <w:rFonts w:eastAsia="Calibri" w:cstheme="minorHAnsi"/>
        </w:rPr>
        <w:t>10</w:t>
      </w:r>
      <w:r w:rsidR="00003FB6">
        <w:rPr>
          <w:rFonts w:eastAsia="Calibri" w:cstheme="minorHAnsi"/>
        </w:rPr>
        <w:t>-</w:t>
      </w:r>
      <w:r w:rsidR="00003FB6" w:rsidRPr="008631C9">
        <w:rPr>
          <w:rFonts w:eastAsia="Calibri" w:cstheme="minorHAnsi"/>
        </w:rPr>
        <w:t>year</w:t>
      </w:r>
      <w:r w:rsidR="00003FB6">
        <w:rPr>
          <w:rFonts w:eastAsia="Calibri" w:cstheme="minorHAnsi"/>
        </w:rPr>
        <w:t>-</w:t>
      </w:r>
      <w:r w:rsidR="008631C9" w:rsidRPr="008631C9">
        <w:rPr>
          <w:rFonts w:eastAsia="Calibri" w:cstheme="minorHAnsi"/>
        </w:rPr>
        <w:t xml:space="preserve">old girl with a </w:t>
      </w:r>
      <w:r w:rsidR="00003FB6" w:rsidRPr="008631C9">
        <w:rPr>
          <w:rFonts w:eastAsia="Calibri" w:cstheme="minorHAnsi"/>
        </w:rPr>
        <w:t>1</w:t>
      </w:r>
      <w:r w:rsidR="00003FB6">
        <w:rPr>
          <w:rFonts w:eastAsia="Calibri" w:cstheme="minorHAnsi"/>
        </w:rPr>
        <w:t>-</w:t>
      </w:r>
      <w:r w:rsidR="008631C9" w:rsidRPr="008631C9">
        <w:rPr>
          <w:rFonts w:eastAsia="Calibri" w:cstheme="minorHAnsi"/>
        </w:rPr>
        <w:t>week history of an itchy skin rash, starting on the lower limbs and then extending all over the body, including mucus membrane</w:t>
      </w:r>
      <w:r w:rsidR="008631C9">
        <w:rPr>
          <w:rFonts w:eastAsia="Calibri" w:cstheme="minorHAnsi"/>
        </w:rPr>
        <w:t>s</w:t>
      </w:r>
      <w:r w:rsidR="008631C9" w:rsidRPr="008631C9">
        <w:rPr>
          <w:rFonts w:eastAsia="Calibri" w:cstheme="minorHAnsi"/>
        </w:rPr>
        <w:t xml:space="preserve">. Fever commenced at about </w:t>
      </w:r>
      <w:r w:rsidR="008631C9">
        <w:rPr>
          <w:rFonts w:eastAsia="Calibri" w:cstheme="minorHAnsi"/>
        </w:rPr>
        <w:t xml:space="preserve">day </w:t>
      </w:r>
      <w:r w:rsidR="008631C9" w:rsidRPr="008631C9">
        <w:rPr>
          <w:rFonts w:eastAsia="Calibri" w:cstheme="minorHAnsi"/>
        </w:rPr>
        <w:t>7 of the rash, peaking at 39.5⁰C.  The rash was umb</w:t>
      </w:r>
      <w:r w:rsidR="00003FB6">
        <w:rPr>
          <w:rFonts w:eastAsia="Calibri" w:cstheme="minorHAnsi"/>
        </w:rPr>
        <w:t>i</w:t>
      </w:r>
      <w:r w:rsidR="008631C9" w:rsidRPr="008631C9">
        <w:rPr>
          <w:rFonts w:eastAsia="Calibri" w:cstheme="minorHAnsi"/>
        </w:rPr>
        <w:t xml:space="preserve">licated </w:t>
      </w:r>
      <w:r w:rsidR="00003FB6">
        <w:rPr>
          <w:rFonts w:eastAsia="Calibri" w:cstheme="minorHAnsi"/>
        </w:rPr>
        <w:t xml:space="preserve">and </w:t>
      </w:r>
      <w:r w:rsidR="008631C9" w:rsidRPr="008631C9">
        <w:rPr>
          <w:rFonts w:eastAsia="Calibri" w:cstheme="minorHAnsi"/>
        </w:rPr>
        <w:t xml:space="preserve">vesicular on an erythematous base. </w:t>
      </w:r>
      <w:r w:rsidR="002648AA">
        <w:rPr>
          <w:rFonts w:eastAsia="Calibri" w:cstheme="minorHAnsi"/>
        </w:rPr>
        <w:t>PCR was</w:t>
      </w:r>
      <w:r w:rsidR="008631C9" w:rsidRPr="008631C9">
        <w:rPr>
          <w:rFonts w:eastAsia="Calibri" w:cstheme="minorHAnsi"/>
        </w:rPr>
        <w:t xml:space="preserve"> positive for </w:t>
      </w:r>
      <w:r w:rsidR="00003FB6">
        <w:rPr>
          <w:rFonts w:eastAsia="Calibri" w:cstheme="minorHAnsi"/>
        </w:rPr>
        <w:t>varicella/zoster</w:t>
      </w:r>
      <w:r w:rsidR="008631C9" w:rsidRPr="008631C9">
        <w:rPr>
          <w:rFonts w:eastAsia="Calibri" w:cstheme="minorHAnsi"/>
        </w:rPr>
        <w:t xml:space="preserve">. </w:t>
      </w:r>
      <w:r w:rsidR="00003FB6">
        <w:rPr>
          <w:rFonts w:eastAsia="Calibri" w:cstheme="minorHAnsi"/>
        </w:rPr>
        <w:t>Her b</w:t>
      </w:r>
      <w:r w:rsidR="00003FB6" w:rsidRPr="008631C9">
        <w:rPr>
          <w:rFonts w:eastAsia="Calibri" w:cstheme="minorHAnsi"/>
        </w:rPr>
        <w:t xml:space="preserve">lood </w:t>
      </w:r>
      <w:r w:rsidR="00003FB6">
        <w:rPr>
          <w:rFonts w:eastAsia="Calibri" w:cstheme="minorHAnsi"/>
        </w:rPr>
        <w:t xml:space="preserve">count and </w:t>
      </w:r>
      <w:r w:rsidR="008631C9" w:rsidRPr="008631C9">
        <w:rPr>
          <w:rFonts w:eastAsia="Calibri" w:cstheme="minorHAnsi"/>
        </w:rPr>
        <w:t xml:space="preserve">film showed lymphocytosis (5.4 </w:t>
      </w:r>
      <w:r w:rsidR="00003FB6">
        <w:rPr>
          <w:rFonts w:eastAsia="Calibri" w:cstheme="minorHAnsi"/>
        </w:rPr>
        <w:t xml:space="preserve">× </w:t>
      </w:r>
      <w:r w:rsidR="008631C9" w:rsidRPr="008631C9">
        <w:rPr>
          <w:rFonts w:eastAsia="Calibri" w:cstheme="minorHAnsi"/>
        </w:rPr>
        <w:t>10</w:t>
      </w:r>
      <w:r w:rsidR="008631C9" w:rsidRPr="008631C9">
        <w:rPr>
          <w:rFonts w:eastAsia="Calibri" w:cstheme="minorHAnsi"/>
          <w:vertAlign w:val="superscript"/>
        </w:rPr>
        <w:t>9</w:t>
      </w:r>
      <w:r w:rsidR="008631C9" w:rsidRPr="008631C9">
        <w:rPr>
          <w:rFonts w:eastAsia="Calibri" w:cstheme="minorHAnsi"/>
        </w:rPr>
        <w:t>/L) with atypical lymphocytes</w:t>
      </w:r>
      <w:r w:rsidR="00126F60">
        <w:rPr>
          <w:rFonts w:eastAsia="Calibri" w:cstheme="minorHAnsi"/>
        </w:rPr>
        <w:t>, some of which were plasmacytoid; apoptotic forms were common</w:t>
      </w:r>
      <w:r w:rsidR="008631C9" w:rsidRPr="008631C9">
        <w:rPr>
          <w:rFonts w:eastAsia="Calibri" w:cstheme="minorHAnsi"/>
        </w:rPr>
        <w:t xml:space="preserve"> (</w:t>
      </w:r>
      <w:r w:rsidR="00003FB6">
        <w:rPr>
          <w:rFonts w:eastAsia="Calibri" w:cstheme="minorHAnsi"/>
        </w:rPr>
        <w:t>images</w:t>
      </w:r>
      <w:r w:rsidR="008631C9" w:rsidRPr="008631C9">
        <w:rPr>
          <w:rFonts w:eastAsia="Calibri" w:cstheme="minorHAnsi"/>
        </w:rPr>
        <w:t>)</w:t>
      </w:r>
      <w:r w:rsidR="00003FB6">
        <w:rPr>
          <w:rFonts w:eastAsia="Calibri" w:cstheme="minorHAnsi"/>
        </w:rPr>
        <w:t xml:space="preserve">. </w:t>
      </w:r>
      <w:r w:rsidR="008631C9" w:rsidRPr="008631C9">
        <w:rPr>
          <w:rFonts w:eastAsia="Calibri" w:cstheme="minorHAnsi"/>
        </w:rPr>
        <w:t xml:space="preserve"> </w:t>
      </w:r>
      <w:r w:rsidR="00003FB6">
        <w:rPr>
          <w:rFonts w:eastAsia="Calibri" w:cstheme="minorHAnsi"/>
        </w:rPr>
        <w:t>The p</w:t>
      </w:r>
      <w:r w:rsidR="00003FB6" w:rsidRPr="008631C9">
        <w:rPr>
          <w:rFonts w:eastAsia="Calibri" w:cstheme="minorHAnsi"/>
        </w:rPr>
        <w:t xml:space="preserve">atient </w:t>
      </w:r>
      <w:r w:rsidR="008631C9" w:rsidRPr="008631C9">
        <w:rPr>
          <w:rFonts w:eastAsia="Calibri" w:cstheme="minorHAnsi"/>
        </w:rPr>
        <w:t xml:space="preserve">was treated with broad spectrum </w:t>
      </w:r>
      <w:proofErr w:type="spellStart"/>
      <w:r w:rsidR="008631C9" w:rsidRPr="008631C9">
        <w:rPr>
          <w:rFonts w:eastAsia="Calibri" w:cstheme="minorHAnsi"/>
        </w:rPr>
        <w:t>antibacterials</w:t>
      </w:r>
      <w:proofErr w:type="spellEnd"/>
      <w:r w:rsidR="008631C9" w:rsidRPr="008631C9">
        <w:rPr>
          <w:rFonts w:eastAsia="Calibri" w:cstheme="minorHAnsi"/>
        </w:rPr>
        <w:t xml:space="preserve"> and </w:t>
      </w:r>
      <w:proofErr w:type="spellStart"/>
      <w:r w:rsidR="00003FB6" w:rsidRPr="008631C9">
        <w:rPr>
          <w:rFonts w:eastAsia="Calibri" w:cstheme="minorHAnsi"/>
        </w:rPr>
        <w:t>ac</w:t>
      </w:r>
      <w:r w:rsidR="00003FB6">
        <w:rPr>
          <w:rFonts w:eastAsia="Calibri" w:cstheme="minorHAnsi"/>
        </w:rPr>
        <w:t>i</w:t>
      </w:r>
      <w:r w:rsidR="00003FB6" w:rsidRPr="008631C9">
        <w:rPr>
          <w:rFonts w:eastAsia="Calibri" w:cstheme="minorHAnsi"/>
        </w:rPr>
        <w:t>clovir</w:t>
      </w:r>
      <w:proofErr w:type="spellEnd"/>
      <w:r w:rsidR="008631C9" w:rsidRPr="008631C9">
        <w:rPr>
          <w:rFonts w:eastAsia="Calibri" w:cstheme="minorHAnsi"/>
        </w:rPr>
        <w:t>, which was poorly tolerated and hence switched to ganciclovir, with good effect.</w:t>
      </w:r>
    </w:p>
    <w:p w14:paraId="4C0B188A" w14:textId="4F914437" w:rsidR="009167F6" w:rsidRDefault="009167F6" w:rsidP="0096195A">
      <w:pPr>
        <w:rPr>
          <w:rFonts w:eastAsia="Calibri" w:cstheme="minorHAnsi"/>
        </w:rPr>
      </w:pPr>
      <w:r>
        <w:rPr>
          <w:rFonts w:eastAsia="Calibri" w:cstheme="minorHAnsi"/>
        </w:rPr>
        <w:t xml:space="preserve">In a small series of monkeypox infections previously reported, 6 of 11 patients investigated </w:t>
      </w:r>
      <w:proofErr w:type="spellStart"/>
      <w:r>
        <w:rPr>
          <w:rFonts w:eastAsia="Calibri" w:cstheme="minorHAnsi"/>
        </w:rPr>
        <w:t>hematologically</w:t>
      </w:r>
      <w:proofErr w:type="spellEnd"/>
      <w:r>
        <w:rPr>
          <w:rFonts w:eastAsia="Calibri" w:cstheme="minorHAnsi"/>
        </w:rPr>
        <w:t xml:space="preserve"> had atypical lymphocytes.</w:t>
      </w:r>
      <w:r w:rsidR="004D70E9">
        <w:rPr>
          <w:rFonts w:eastAsia="Calibri" w:cstheme="minorHAnsi"/>
          <w:vertAlign w:val="superscript"/>
        </w:rPr>
        <w:t>2</w:t>
      </w:r>
      <w:r>
        <w:rPr>
          <w:rFonts w:eastAsia="Calibri" w:cstheme="minorHAnsi"/>
        </w:rPr>
        <w:t xml:space="preserve"> </w:t>
      </w:r>
      <w:r w:rsidR="00AC389E">
        <w:rPr>
          <w:rFonts w:eastAsia="Calibri" w:cstheme="minorHAnsi"/>
        </w:rPr>
        <w:t>Interestingly, t</w:t>
      </w:r>
      <w:r>
        <w:rPr>
          <w:rFonts w:eastAsia="Calibri" w:cstheme="minorHAnsi"/>
        </w:rPr>
        <w:t>he total lymphocyte count was increased in only one of these patients.</w:t>
      </w:r>
      <w:r w:rsidR="00AC389E">
        <w:rPr>
          <w:rFonts w:eastAsia="Calibri" w:cstheme="minorHAnsi"/>
        </w:rPr>
        <w:t xml:space="preserve"> </w:t>
      </w:r>
      <w:r w:rsidR="00ED530E">
        <w:rPr>
          <w:rFonts w:eastAsia="Calibri" w:cstheme="minorHAnsi"/>
        </w:rPr>
        <w:t xml:space="preserve">In </w:t>
      </w:r>
      <w:r w:rsidR="004D70E9">
        <w:rPr>
          <w:rFonts w:eastAsia="Calibri" w:cstheme="minorHAnsi"/>
        </w:rPr>
        <w:t xml:space="preserve">the baby reported here the lymphocyte count was </w:t>
      </w:r>
      <w:r w:rsidR="002648AA">
        <w:rPr>
          <w:rFonts w:eastAsia="Calibri" w:cstheme="minorHAnsi"/>
        </w:rPr>
        <w:t xml:space="preserve">also </w:t>
      </w:r>
      <w:r w:rsidR="004D70E9">
        <w:rPr>
          <w:rFonts w:eastAsia="Calibri" w:cstheme="minorHAnsi"/>
        </w:rPr>
        <w:t xml:space="preserve">normal for age </w:t>
      </w:r>
      <w:r w:rsidR="002648AA">
        <w:rPr>
          <w:rFonts w:eastAsia="Calibri" w:cstheme="minorHAnsi"/>
        </w:rPr>
        <w:t>as it was</w:t>
      </w:r>
      <w:r w:rsidR="004D70E9">
        <w:rPr>
          <w:rFonts w:eastAsia="Calibri" w:cstheme="minorHAnsi"/>
        </w:rPr>
        <w:t xml:space="preserve"> in </w:t>
      </w:r>
      <w:r w:rsidR="00ED530E">
        <w:rPr>
          <w:rFonts w:eastAsia="Calibri" w:cstheme="minorHAnsi"/>
        </w:rPr>
        <w:t>another reported patient.</w:t>
      </w:r>
      <w:r w:rsidR="004D70E9">
        <w:rPr>
          <w:rFonts w:eastAsia="Calibri" w:cstheme="minorHAnsi"/>
          <w:vertAlign w:val="superscript"/>
        </w:rPr>
        <w:t>3</w:t>
      </w:r>
    </w:p>
    <w:p w14:paraId="121D8B79" w14:textId="34E8B99B" w:rsidR="00AC389E" w:rsidRDefault="00AC389E" w:rsidP="0096195A">
      <w:pPr>
        <w:rPr>
          <w:rFonts w:eastAsia="Calibri" w:cstheme="minorHAnsi"/>
        </w:rPr>
      </w:pPr>
      <w:r>
        <w:rPr>
          <w:rFonts w:eastAsia="Calibri" w:cstheme="minorHAnsi"/>
        </w:rPr>
        <w:t xml:space="preserve">Not surprisingly, atypical lymphocytes are also a feature of </w:t>
      </w:r>
      <w:proofErr w:type="gramStart"/>
      <w:r>
        <w:rPr>
          <w:rFonts w:eastAsia="Calibri" w:cstheme="minorHAnsi"/>
        </w:rPr>
        <w:t>small pox</w:t>
      </w:r>
      <w:proofErr w:type="gramEnd"/>
      <w:r>
        <w:rPr>
          <w:rFonts w:eastAsia="Calibri" w:cstheme="minorHAnsi"/>
        </w:rPr>
        <w:t>, having been reported almost a century ago.</w:t>
      </w:r>
      <w:r w:rsidR="004D70E9">
        <w:rPr>
          <w:rFonts w:eastAsia="Calibri" w:cstheme="minorHAnsi"/>
          <w:vertAlign w:val="superscript"/>
        </w:rPr>
        <w:t>4</w:t>
      </w:r>
    </w:p>
    <w:p w14:paraId="173818C3" w14:textId="6E3CB969" w:rsidR="0003485E" w:rsidRPr="00A36D1E" w:rsidRDefault="00930368" w:rsidP="0096195A">
      <w:pPr>
        <w:rPr>
          <w:rFonts w:eastAsia="Calibri" w:cstheme="minorHAnsi"/>
          <w:b/>
          <w:bCs/>
        </w:rPr>
      </w:pPr>
      <w:r>
        <w:rPr>
          <w:rFonts w:eastAsia="Calibri" w:cstheme="minorHAnsi"/>
        </w:rPr>
        <w:t xml:space="preserve"> </w:t>
      </w:r>
      <w:r w:rsidR="0003485E" w:rsidRPr="00A36D1E">
        <w:rPr>
          <w:rFonts w:eastAsia="Calibri" w:cstheme="minorHAnsi"/>
          <w:b/>
          <w:bCs/>
        </w:rPr>
        <w:t>R</w:t>
      </w:r>
      <w:r w:rsidR="00B15830" w:rsidRPr="00A36D1E">
        <w:rPr>
          <w:rFonts w:eastAsia="Calibri" w:cstheme="minorHAnsi"/>
          <w:b/>
          <w:bCs/>
        </w:rPr>
        <w:t>EFERENCE</w:t>
      </w:r>
    </w:p>
    <w:p w14:paraId="67B062F7" w14:textId="77777777" w:rsidR="002648AA" w:rsidRDefault="002648AA" w:rsidP="002648AA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Debuysschere</w:t>
      </w:r>
      <w:proofErr w:type="spellEnd"/>
      <w:r>
        <w:rPr>
          <w:rFonts w:eastAsia="Calibri" w:cstheme="minorHAnsi"/>
        </w:rPr>
        <w:t xml:space="preserve"> C, </w:t>
      </w:r>
      <w:proofErr w:type="spellStart"/>
      <w:r>
        <w:rPr>
          <w:rFonts w:eastAsia="Calibri" w:cstheme="minorHAnsi"/>
        </w:rPr>
        <w:t>Beukinga</w:t>
      </w:r>
      <w:proofErr w:type="spellEnd"/>
      <w:r>
        <w:rPr>
          <w:rFonts w:eastAsia="Calibri" w:cstheme="minorHAnsi"/>
        </w:rPr>
        <w:t xml:space="preserve"> I, Hernando C </w:t>
      </w:r>
      <w:r w:rsidRPr="00930368">
        <w:rPr>
          <w:rFonts w:eastAsia="Calibri" w:cstheme="minorHAnsi"/>
        </w:rPr>
        <w:t xml:space="preserve">et al. </w:t>
      </w:r>
      <w:proofErr w:type="gramStart"/>
      <w:r>
        <w:rPr>
          <w:rFonts w:eastAsia="Calibri" w:cstheme="minorHAnsi"/>
        </w:rPr>
        <w:t>Atypical</w:t>
      </w:r>
      <w:proofErr w:type="gramEnd"/>
      <w:r>
        <w:rPr>
          <w:rFonts w:eastAsia="Calibri" w:cstheme="minorHAnsi"/>
        </w:rPr>
        <w:t xml:space="preserve"> lymphocytes associated with monkeypox virus infection</w:t>
      </w:r>
      <w:r w:rsidRPr="00930368">
        <w:rPr>
          <w:rFonts w:eastAsia="Calibri" w:cstheme="minorHAnsi"/>
        </w:rPr>
        <w:t xml:space="preserve">. </w:t>
      </w:r>
      <w:r w:rsidRPr="00930368">
        <w:rPr>
          <w:rFonts w:eastAsia="Calibri" w:cstheme="minorHAnsi"/>
          <w:i/>
          <w:iCs/>
        </w:rPr>
        <w:t>Br J Haematol</w:t>
      </w:r>
      <w:r w:rsidRPr="00930368">
        <w:rPr>
          <w:rFonts w:eastAsia="Calibri" w:cstheme="minorHAnsi"/>
        </w:rPr>
        <w:t>. 20</w:t>
      </w:r>
      <w:r>
        <w:rPr>
          <w:rFonts w:eastAsia="Calibri" w:cstheme="minorHAnsi"/>
        </w:rPr>
        <w:t>22</w:t>
      </w:r>
      <w:r w:rsidRPr="00930368">
        <w:rPr>
          <w:rFonts w:eastAsia="Calibri" w:cstheme="minorHAnsi"/>
        </w:rPr>
        <w:t>;</w:t>
      </w:r>
      <w:r>
        <w:rPr>
          <w:rFonts w:eastAsia="Calibri" w:cstheme="minorHAnsi"/>
        </w:rPr>
        <w:t>199</w:t>
      </w:r>
      <w:r w:rsidRPr="00930368">
        <w:rPr>
          <w:rFonts w:eastAsia="Calibri" w:cstheme="minorHAnsi"/>
        </w:rPr>
        <w:t>:</w:t>
      </w:r>
      <w:r>
        <w:rPr>
          <w:rFonts w:eastAsia="Calibri" w:cstheme="minorHAnsi"/>
        </w:rPr>
        <w:t>306</w:t>
      </w:r>
      <w:r w:rsidRPr="00930368">
        <w:rPr>
          <w:rFonts w:eastAsia="Calibri" w:cstheme="minorHAnsi"/>
        </w:rPr>
        <w:t>.</w:t>
      </w:r>
    </w:p>
    <w:p w14:paraId="26B59728" w14:textId="74071342" w:rsidR="00AD2DF0" w:rsidRDefault="00263B5D" w:rsidP="00930368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Ramnarayan</w:t>
      </w:r>
      <w:proofErr w:type="spellEnd"/>
      <w:r>
        <w:rPr>
          <w:rFonts w:eastAsia="Calibri" w:cstheme="minorHAnsi"/>
        </w:rPr>
        <w:t xml:space="preserve"> P, </w:t>
      </w:r>
      <w:r w:rsidR="00AD2DF0">
        <w:rPr>
          <w:rFonts w:eastAsia="Calibri" w:cstheme="minorHAnsi"/>
        </w:rPr>
        <w:t xml:space="preserve">Mitting R, Whittaker E et al. Neonatal monkeypox viral infection. N </w:t>
      </w:r>
      <w:proofErr w:type="spellStart"/>
      <w:r w:rsidR="00AD2DF0">
        <w:rPr>
          <w:rFonts w:eastAsia="Calibri" w:cstheme="minorHAnsi"/>
        </w:rPr>
        <w:t>Engl</w:t>
      </w:r>
      <w:proofErr w:type="spellEnd"/>
      <w:r w:rsidR="00AD2DF0">
        <w:rPr>
          <w:rFonts w:eastAsia="Calibri" w:cstheme="minorHAnsi"/>
        </w:rPr>
        <w:t xml:space="preserve"> J Med, 202</w:t>
      </w:r>
      <w:r>
        <w:rPr>
          <w:rFonts w:eastAsia="Calibri" w:cstheme="minorHAnsi"/>
        </w:rPr>
        <w:t>2</w:t>
      </w:r>
      <w:r w:rsidR="00AD2DF0">
        <w:rPr>
          <w:rFonts w:eastAsia="Calibri" w:cstheme="minorHAnsi"/>
        </w:rPr>
        <w:t>: 387:</w:t>
      </w:r>
      <w:r>
        <w:rPr>
          <w:rFonts w:eastAsia="Calibri" w:cstheme="minorHAnsi"/>
        </w:rPr>
        <w:t>1618-1620.</w:t>
      </w:r>
      <w:r w:rsidR="00AD2DF0">
        <w:rPr>
          <w:rFonts w:eastAsia="Calibri" w:cstheme="minorHAnsi"/>
        </w:rPr>
        <w:t xml:space="preserve"> </w:t>
      </w:r>
    </w:p>
    <w:p w14:paraId="4872119F" w14:textId="55F3E096" w:rsidR="00ED530E" w:rsidRDefault="00ED530E" w:rsidP="00930368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Neeley J, </w:t>
      </w:r>
      <w:proofErr w:type="spellStart"/>
      <w:r>
        <w:rPr>
          <w:rFonts w:eastAsia="Calibri" w:cstheme="minorHAnsi"/>
        </w:rPr>
        <w:t>Glogowski</w:t>
      </w:r>
      <w:proofErr w:type="spellEnd"/>
      <w:r>
        <w:rPr>
          <w:rFonts w:eastAsia="Calibri" w:cstheme="minorHAnsi"/>
        </w:rPr>
        <w:t xml:space="preserve"> S, Chen W. monkeypox </w:t>
      </w:r>
      <w:proofErr w:type="spellStart"/>
      <w:r>
        <w:rPr>
          <w:rFonts w:eastAsia="Calibri" w:cstheme="minorHAnsi"/>
        </w:rPr>
        <w:t>virus:A</w:t>
      </w:r>
      <w:proofErr w:type="spellEnd"/>
      <w:r>
        <w:rPr>
          <w:rFonts w:eastAsia="Calibri" w:cstheme="minorHAnsi"/>
        </w:rPr>
        <w:t xml:space="preserve"> new </w:t>
      </w:r>
      <w:proofErr w:type="spellStart"/>
      <w:r>
        <w:rPr>
          <w:rFonts w:eastAsia="Calibri" w:cstheme="minorHAnsi"/>
        </w:rPr>
        <w:t>etiology</w:t>
      </w:r>
      <w:proofErr w:type="spellEnd"/>
      <w:r>
        <w:rPr>
          <w:rFonts w:eastAsia="Calibri" w:cstheme="minorHAnsi"/>
        </w:rPr>
        <w:t xml:space="preserve"> for reactive lymphocytes in peripheral blood. </w:t>
      </w:r>
      <w:proofErr w:type="spellStart"/>
      <w:r>
        <w:rPr>
          <w:rFonts w:eastAsia="Calibri" w:cstheme="minorHAnsi"/>
        </w:rPr>
        <w:t>eJHem</w:t>
      </w:r>
      <w:proofErr w:type="spellEnd"/>
      <w:r>
        <w:rPr>
          <w:rFonts w:eastAsia="Calibri" w:cstheme="minorHAnsi"/>
        </w:rPr>
        <w:t>. 2022;3:1338</w:t>
      </w:r>
      <w:r w:rsidR="007E3FC5">
        <w:rPr>
          <w:rFonts w:eastAsia="Calibri" w:cstheme="minorHAnsi"/>
        </w:rPr>
        <w:t>-1399.</w:t>
      </w:r>
    </w:p>
    <w:p w14:paraId="562286B7" w14:textId="0FE7BE09" w:rsidR="00F53E8B" w:rsidRPr="00930368" w:rsidRDefault="00AC389E" w:rsidP="00930368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Ikeda K. The blood in purpuric smallpox. Clinical review of forty-eight cases. </w:t>
      </w:r>
      <w:r w:rsidRPr="00AC389E">
        <w:rPr>
          <w:rFonts w:eastAsia="Calibri" w:cstheme="minorHAnsi"/>
          <w:i/>
          <w:iCs/>
        </w:rPr>
        <w:t>JAMA</w:t>
      </w:r>
      <w:r>
        <w:rPr>
          <w:rFonts w:eastAsia="Calibri" w:cstheme="minorHAnsi"/>
        </w:rPr>
        <w:t>. 1925;84:1807-1813.</w:t>
      </w:r>
      <w:r w:rsidR="00F53E8B" w:rsidRPr="00930368">
        <w:rPr>
          <w:rFonts w:eastAsia="Calibri" w:cstheme="minorHAnsi"/>
        </w:rPr>
        <w:tab/>
      </w:r>
    </w:p>
    <w:p w14:paraId="785BAB5A" w14:textId="4826B1D7" w:rsidR="00F863EA" w:rsidRDefault="00F53E8B" w:rsidP="0096195A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F863EA">
        <w:rPr>
          <w:rFonts w:eastAsia="Calibri" w:cstheme="minorHAnsi"/>
        </w:rPr>
        <w:t xml:space="preserve">  </w:t>
      </w:r>
    </w:p>
    <w:p w14:paraId="5D1CE32C" w14:textId="2DB7CBB4" w:rsidR="004555EA" w:rsidRDefault="004555EA" w:rsidP="004555EA">
      <w:pPr>
        <w:rPr>
          <w:rFonts w:eastAsia="Calibri" w:cstheme="minorHAnsi"/>
        </w:rPr>
      </w:pPr>
      <w:r>
        <w:rPr>
          <w:rFonts w:eastAsia="Calibri" w:cstheme="minorHAnsi"/>
        </w:rPr>
        <w:lastRenderedPageBreak/>
        <w:t>CONFLICT OF INTEREST</w:t>
      </w:r>
    </w:p>
    <w:p w14:paraId="3843E873" w14:textId="77777777" w:rsidR="004555EA" w:rsidRDefault="004555EA" w:rsidP="004555EA">
      <w:pPr>
        <w:rPr>
          <w:rFonts w:eastAsia="Calibri" w:cstheme="minorHAnsi"/>
        </w:rPr>
      </w:pPr>
      <w:r>
        <w:rPr>
          <w:rFonts w:eastAsia="Calibri" w:cstheme="minorHAnsi"/>
        </w:rPr>
        <w:t>The authors declare no conflict of interest</w:t>
      </w:r>
    </w:p>
    <w:p w14:paraId="203958F9" w14:textId="77777777" w:rsidR="004555EA" w:rsidRDefault="004555EA" w:rsidP="004555EA">
      <w:pPr>
        <w:rPr>
          <w:rFonts w:eastAsia="Calibri" w:cstheme="minorHAnsi"/>
        </w:rPr>
      </w:pPr>
      <w:r>
        <w:rPr>
          <w:rFonts w:eastAsia="Calibri" w:cstheme="minorHAnsi"/>
        </w:rPr>
        <w:t>ORCID</w:t>
      </w:r>
    </w:p>
    <w:p w14:paraId="53171016" w14:textId="77777777" w:rsidR="004555EA" w:rsidRPr="00C42B10" w:rsidRDefault="004555EA" w:rsidP="004555EA">
      <w:pPr>
        <w:rPr>
          <w:rFonts w:cstheme="minorHAnsi"/>
        </w:rPr>
      </w:pPr>
      <w:r w:rsidRPr="00C42B10">
        <w:rPr>
          <w:rFonts w:ascii="Arial" w:hAnsi="Arial" w:cs="Arial"/>
          <w:color w:val="666666"/>
          <w:sz w:val="23"/>
          <w:szCs w:val="23"/>
        </w:rPr>
        <w:t>0000-0003-3077-4579 Barbara Bain</w:t>
      </w:r>
    </w:p>
    <w:p w14:paraId="6ED548C2" w14:textId="77777777" w:rsidR="00435A57" w:rsidRDefault="00435A57" w:rsidP="00435A57">
      <w:pPr>
        <w:rPr>
          <w:rFonts w:eastAsia="Calibri" w:cstheme="minorHAnsi"/>
        </w:rPr>
      </w:pPr>
    </w:p>
    <w:p w14:paraId="49B93D99" w14:textId="07A8DA53" w:rsidR="00435A57" w:rsidRDefault="00435A57" w:rsidP="00435A57">
      <w:pPr>
        <w:rPr>
          <w:rFonts w:eastAsia="Calibri" w:cstheme="minorHAnsi"/>
        </w:rPr>
      </w:pPr>
      <w:r>
        <w:rPr>
          <w:rFonts w:eastAsia="Calibri" w:cstheme="minorHAnsi"/>
        </w:rPr>
        <w:t>Email of co-autho</w:t>
      </w:r>
      <w:r w:rsidR="002648AA">
        <w:rPr>
          <w:rFonts w:eastAsia="Calibri" w:cstheme="minorHAnsi"/>
        </w:rPr>
        <w:t>rs</w:t>
      </w:r>
      <w:r>
        <w:rPr>
          <w:rFonts w:eastAsia="Calibri" w:cstheme="minorHAnsi"/>
        </w:rPr>
        <w:t xml:space="preserve"> for editorial purposes</w:t>
      </w:r>
    </w:p>
    <w:p w14:paraId="31D47AEB" w14:textId="77777777" w:rsidR="006A5AE7" w:rsidRDefault="00000000">
      <w:pPr>
        <w:rPr>
          <w:rStyle w:val="Hyperlink"/>
          <w:rFonts w:eastAsia="Times New Roman"/>
          <w:lang w:val="en-US"/>
        </w:rPr>
      </w:pPr>
      <w:hyperlink r:id="rId10" w:history="1">
        <w:r w:rsidR="007C6186" w:rsidRPr="006E1DD1">
          <w:rPr>
            <w:rStyle w:val="Hyperlink"/>
            <w:rFonts w:eastAsia="Times New Roman"/>
            <w:lang w:val="en-US"/>
          </w:rPr>
          <w:t>george.nesr@nhs.net</w:t>
        </w:r>
      </w:hyperlink>
    </w:p>
    <w:p w14:paraId="72A830F1" w14:textId="4F9EDD8F" w:rsidR="007475A0" w:rsidRDefault="00000000">
      <w:hyperlink r:id="rId11" w:history="1">
        <w:r w:rsidR="00B7452A" w:rsidRPr="00DD0D4B">
          <w:rPr>
            <w:rStyle w:val="Hyperlink"/>
            <w:rFonts w:eastAsia="Times New Roman"/>
            <w:lang w:val="en-US"/>
          </w:rPr>
          <w:t>elizabeth.whittaker2@nhs.net</w:t>
        </w:r>
      </w:hyperlink>
      <w:r w:rsidR="006A5AE7">
        <w:rPr>
          <w:rStyle w:val="Hyperlink"/>
          <w:rFonts w:eastAsia="Times New Roman"/>
          <w:lang w:val="en-US"/>
        </w:rPr>
        <w:tab/>
      </w:r>
      <w:r w:rsidR="007C6186">
        <w:rPr>
          <w:rFonts w:eastAsia="Times New Roman"/>
          <w:lang w:val="en-US"/>
        </w:rPr>
        <w:tab/>
      </w:r>
    </w:p>
    <w:sectPr w:rsidR="00747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2B22"/>
    <w:multiLevelType w:val="hybridMultilevel"/>
    <w:tmpl w:val="78BC4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90"/>
    <w:rsid w:val="00003FB6"/>
    <w:rsid w:val="00023D07"/>
    <w:rsid w:val="00024BA2"/>
    <w:rsid w:val="0003485E"/>
    <w:rsid w:val="00034F9A"/>
    <w:rsid w:val="00075C9E"/>
    <w:rsid w:val="00077D90"/>
    <w:rsid w:val="00093D4B"/>
    <w:rsid w:val="000B470E"/>
    <w:rsid w:val="000B4E81"/>
    <w:rsid w:val="000F473C"/>
    <w:rsid w:val="00113A9D"/>
    <w:rsid w:val="00126F60"/>
    <w:rsid w:val="00133A0E"/>
    <w:rsid w:val="00135EA1"/>
    <w:rsid w:val="001441E4"/>
    <w:rsid w:val="00167758"/>
    <w:rsid w:val="00182A34"/>
    <w:rsid w:val="001A257E"/>
    <w:rsid w:val="001F1ADE"/>
    <w:rsid w:val="00215390"/>
    <w:rsid w:val="0024143D"/>
    <w:rsid w:val="00252D83"/>
    <w:rsid w:val="00263B5D"/>
    <w:rsid w:val="002648AA"/>
    <w:rsid w:val="00272438"/>
    <w:rsid w:val="002743ED"/>
    <w:rsid w:val="00281EF9"/>
    <w:rsid w:val="002850AE"/>
    <w:rsid w:val="002A064F"/>
    <w:rsid w:val="002B5A1B"/>
    <w:rsid w:val="00306DF3"/>
    <w:rsid w:val="003D003D"/>
    <w:rsid w:val="00435A57"/>
    <w:rsid w:val="004555EA"/>
    <w:rsid w:val="0047394A"/>
    <w:rsid w:val="004743DF"/>
    <w:rsid w:val="00477D0D"/>
    <w:rsid w:val="004C6561"/>
    <w:rsid w:val="004D5A00"/>
    <w:rsid w:val="004D70E9"/>
    <w:rsid w:val="004E6976"/>
    <w:rsid w:val="004F0280"/>
    <w:rsid w:val="0052351E"/>
    <w:rsid w:val="00531FDA"/>
    <w:rsid w:val="0053484F"/>
    <w:rsid w:val="005A5C8F"/>
    <w:rsid w:val="006177CD"/>
    <w:rsid w:val="00623644"/>
    <w:rsid w:val="00637492"/>
    <w:rsid w:val="00681DFA"/>
    <w:rsid w:val="006A5AE7"/>
    <w:rsid w:val="007475A0"/>
    <w:rsid w:val="00750CC4"/>
    <w:rsid w:val="00766190"/>
    <w:rsid w:val="007A001B"/>
    <w:rsid w:val="007A56DE"/>
    <w:rsid w:val="007C6186"/>
    <w:rsid w:val="007E3FC5"/>
    <w:rsid w:val="007E5741"/>
    <w:rsid w:val="007F6167"/>
    <w:rsid w:val="0083450A"/>
    <w:rsid w:val="0083710F"/>
    <w:rsid w:val="008631C9"/>
    <w:rsid w:val="00893561"/>
    <w:rsid w:val="008D5F4D"/>
    <w:rsid w:val="008D70F5"/>
    <w:rsid w:val="009013CA"/>
    <w:rsid w:val="009167F6"/>
    <w:rsid w:val="00930368"/>
    <w:rsid w:val="0096195A"/>
    <w:rsid w:val="0099126B"/>
    <w:rsid w:val="009C0B7E"/>
    <w:rsid w:val="009C5A14"/>
    <w:rsid w:val="009D4011"/>
    <w:rsid w:val="00A042C7"/>
    <w:rsid w:val="00A168F5"/>
    <w:rsid w:val="00A3512D"/>
    <w:rsid w:val="00A36D1E"/>
    <w:rsid w:val="00A37E01"/>
    <w:rsid w:val="00A73A54"/>
    <w:rsid w:val="00A74FE4"/>
    <w:rsid w:val="00AB6842"/>
    <w:rsid w:val="00AC389E"/>
    <w:rsid w:val="00AD2DF0"/>
    <w:rsid w:val="00AE2C87"/>
    <w:rsid w:val="00AE72B9"/>
    <w:rsid w:val="00B15830"/>
    <w:rsid w:val="00B7452A"/>
    <w:rsid w:val="00BC2A59"/>
    <w:rsid w:val="00BC39CA"/>
    <w:rsid w:val="00BC543B"/>
    <w:rsid w:val="00C03AD7"/>
    <w:rsid w:val="00C342E0"/>
    <w:rsid w:val="00C64C9B"/>
    <w:rsid w:val="00C74554"/>
    <w:rsid w:val="00CB785A"/>
    <w:rsid w:val="00CC4652"/>
    <w:rsid w:val="00CE7563"/>
    <w:rsid w:val="00DA12A0"/>
    <w:rsid w:val="00E028BB"/>
    <w:rsid w:val="00E84424"/>
    <w:rsid w:val="00EA4D82"/>
    <w:rsid w:val="00ED530E"/>
    <w:rsid w:val="00EF69EA"/>
    <w:rsid w:val="00F53E8B"/>
    <w:rsid w:val="00F74AE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28C7"/>
  <w15:chartTrackingRefBased/>
  <w15:docId w15:val="{4EAE701F-CB42-4510-9240-9CA0B94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95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6195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95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195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5F4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5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0368"/>
    <w:pPr>
      <w:ind w:left="720"/>
      <w:contextualSpacing/>
    </w:pPr>
  </w:style>
  <w:style w:type="paragraph" w:styleId="Revision">
    <w:name w:val="Revision"/>
    <w:hidden/>
    <w:uiPriority w:val="99"/>
    <w:semiHidden/>
    <w:rsid w:val="00003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lizabeth.whittaker2@nhs.net" TargetMode="External"/><Relationship Id="rId5" Type="http://schemas.openxmlformats.org/officeDocument/2006/relationships/hyperlink" Target="mailto:b.bain@imperial.ac.uk" TargetMode="External"/><Relationship Id="rId10" Type="http://schemas.openxmlformats.org/officeDocument/2006/relationships/hyperlink" Target="mailto:george.nesr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Nehal</dc:creator>
  <cp:keywords/>
  <dc:description/>
  <cp:lastModifiedBy>Bain, Barbara J</cp:lastModifiedBy>
  <cp:revision>12</cp:revision>
  <dcterms:created xsi:type="dcterms:W3CDTF">2023-01-29T22:59:00Z</dcterms:created>
  <dcterms:modified xsi:type="dcterms:W3CDTF">2023-02-08T09:46:00Z</dcterms:modified>
</cp:coreProperties>
</file>