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C2C1F" w14:textId="7593B816" w:rsidR="00245684" w:rsidRPr="0089336D" w:rsidRDefault="006C00AF" w:rsidP="007F1E72">
      <w:pPr>
        <w:spacing w:after="0" w:line="240" w:lineRule="auto"/>
        <w:jc w:val="both"/>
        <w:rPr>
          <w:rFonts w:ascii="Times New Roman" w:eastAsia="Calibri" w:hAnsi="Times New Roman" w:cs="Times New Roman"/>
          <w:b/>
          <w:bCs/>
          <w:iCs/>
          <w:sz w:val="24"/>
          <w:szCs w:val="24"/>
        </w:rPr>
      </w:pPr>
      <w:r w:rsidRPr="0089336D">
        <w:rPr>
          <w:rFonts w:ascii="Times New Roman" w:eastAsia="Calibri" w:hAnsi="Times New Roman" w:cs="Times New Roman"/>
          <w:b/>
          <w:bCs/>
          <w:iCs/>
          <w:sz w:val="24"/>
          <w:szCs w:val="24"/>
        </w:rPr>
        <w:t>A ten-year observational</w:t>
      </w:r>
      <w:r w:rsidR="00245684" w:rsidRPr="0089336D">
        <w:rPr>
          <w:rFonts w:ascii="Times New Roman" w:eastAsia="Calibri" w:hAnsi="Times New Roman" w:cs="Times New Roman"/>
          <w:b/>
          <w:bCs/>
          <w:iCs/>
          <w:sz w:val="24"/>
          <w:szCs w:val="24"/>
        </w:rPr>
        <w:t xml:space="preserve"> study of</w:t>
      </w:r>
      <w:r w:rsidR="00E720FC" w:rsidRPr="0089336D">
        <w:rPr>
          <w:rFonts w:ascii="Times New Roman" w:eastAsia="Calibri" w:hAnsi="Times New Roman" w:cs="Times New Roman"/>
          <w:b/>
          <w:bCs/>
          <w:iCs/>
          <w:sz w:val="24"/>
          <w:szCs w:val="24"/>
        </w:rPr>
        <w:t xml:space="preserve"> the use</w:t>
      </w:r>
      <w:r w:rsidR="00695C79" w:rsidRPr="0089336D">
        <w:rPr>
          <w:rFonts w:ascii="Times New Roman" w:eastAsia="Calibri" w:hAnsi="Times New Roman" w:cs="Times New Roman"/>
          <w:b/>
          <w:bCs/>
          <w:iCs/>
          <w:sz w:val="24"/>
          <w:szCs w:val="24"/>
        </w:rPr>
        <w:t>, acceptability</w:t>
      </w:r>
      <w:r w:rsidR="00E720FC" w:rsidRPr="0089336D">
        <w:rPr>
          <w:rFonts w:ascii="Times New Roman" w:eastAsia="Calibri" w:hAnsi="Times New Roman" w:cs="Times New Roman"/>
          <w:b/>
          <w:bCs/>
          <w:iCs/>
          <w:sz w:val="24"/>
          <w:szCs w:val="24"/>
        </w:rPr>
        <w:t xml:space="preserve"> and effectiveness of Long-Acting Paliperidone</w:t>
      </w:r>
      <w:r w:rsidR="004320F8">
        <w:rPr>
          <w:rFonts w:ascii="Times New Roman" w:eastAsia="Calibri" w:hAnsi="Times New Roman" w:cs="Times New Roman"/>
          <w:b/>
          <w:bCs/>
          <w:iCs/>
          <w:sz w:val="24"/>
          <w:szCs w:val="24"/>
        </w:rPr>
        <w:t xml:space="preserve"> </w:t>
      </w:r>
      <w:r w:rsidR="00E720FC" w:rsidRPr="0089336D">
        <w:rPr>
          <w:rFonts w:ascii="Times New Roman" w:eastAsia="Calibri" w:hAnsi="Times New Roman" w:cs="Times New Roman"/>
          <w:b/>
          <w:bCs/>
          <w:iCs/>
          <w:sz w:val="24"/>
          <w:szCs w:val="24"/>
        </w:rPr>
        <w:t>Palmitate</w:t>
      </w:r>
      <w:r w:rsidR="004320F8">
        <w:rPr>
          <w:rFonts w:ascii="Times New Roman" w:eastAsia="Calibri" w:hAnsi="Times New Roman" w:cs="Times New Roman"/>
          <w:b/>
          <w:bCs/>
          <w:iCs/>
          <w:sz w:val="24"/>
          <w:szCs w:val="24"/>
        </w:rPr>
        <w:t xml:space="preserve"> </w:t>
      </w:r>
      <w:r w:rsidR="00BA0B2F" w:rsidRPr="0089336D">
        <w:rPr>
          <w:rFonts w:ascii="Times New Roman" w:eastAsia="Calibri" w:hAnsi="Times New Roman" w:cs="Times New Roman"/>
          <w:b/>
          <w:bCs/>
          <w:iCs/>
          <w:sz w:val="24"/>
          <w:szCs w:val="24"/>
        </w:rPr>
        <w:t xml:space="preserve">– implications </w:t>
      </w:r>
      <w:r w:rsidR="00064569" w:rsidRPr="0089336D">
        <w:rPr>
          <w:rFonts w:ascii="Times New Roman" w:eastAsia="Calibri" w:hAnsi="Times New Roman" w:cs="Times New Roman"/>
          <w:b/>
          <w:bCs/>
          <w:iCs/>
          <w:sz w:val="24"/>
          <w:szCs w:val="24"/>
        </w:rPr>
        <w:t xml:space="preserve">for clinical </w:t>
      </w:r>
      <w:r w:rsidR="009B16C8" w:rsidRPr="0089336D">
        <w:rPr>
          <w:rFonts w:ascii="Times New Roman" w:eastAsia="Calibri" w:hAnsi="Times New Roman" w:cs="Times New Roman"/>
          <w:b/>
          <w:bCs/>
          <w:iCs/>
          <w:sz w:val="24"/>
          <w:szCs w:val="24"/>
        </w:rPr>
        <w:t>decision making</w:t>
      </w:r>
    </w:p>
    <w:p w14:paraId="147659C9" w14:textId="77777777" w:rsidR="007F1E72" w:rsidRPr="00316331" w:rsidRDefault="007F1E72" w:rsidP="007F1E72">
      <w:pPr>
        <w:spacing w:after="0" w:line="240" w:lineRule="auto"/>
        <w:jc w:val="both"/>
        <w:rPr>
          <w:rFonts w:ascii="Times New Roman" w:eastAsia="Calibri" w:hAnsi="Times New Roman" w:cs="Times New Roman"/>
          <w:b/>
          <w:bCs/>
          <w:iCs/>
          <w:sz w:val="20"/>
          <w:szCs w:val="20"/>
        </w:rPr>
      </w:pPr>
    </w:p>
    <w:p w14:paraId="51EDED07" w14:textId="470AAB37" w:rsidR="00643195" w:rsidRPr="00316331" w:rsidRDefault="00643195" w:rsidP="00643195">
      <w:pPr>
        <w:spacing w:after="0" w:line="240" w:lineRule="auto"/>
        <w:jc w:val="both"/>
        <w:rPr>
          <w:rFonts w:ascii="Times New Roman" w:hAnsi="Times New Roman" w:cs="Times New Roman"/>
          <w:sz w:val="20"/>
          <w:szCs w:val="20"/>
        </w:rPr>
      </w:pPr>
      <w:r w:rsidRPr="00316331">
        <w:rPr>
          <w:rFonts w:ascii="Times New Roman" w:hAnsi="Times New Roman" w:cs="Times New Roman"/>
          <w:sz w:val="20"/>
          <w:szCs w:val="20"/>
        </w:rPr>
        <w:t xml:space="preserve">Running Title: </w:t>
      </w:r>
      <w:r w:rsidR="0089336D">
        <w:rPr>
          <w:rFonts w:ascii="Times New Roman" w:hAnsi="Times New Roman" w:cs="Times New Roman"/>
          <w:sz w:val="20"/>
          <w:szCs w:val="20"/>
        </w:rPr>
        <w:t>Ten-</w:t>
      </w:r>
      <w:r w:rsidR="00C066A8" w:rsidRPr="00316331">
        <w:rPr>
          <w:rFonts w:ascii="Times New Roman" w:hAnsi="Times New Roman" w:cs="Times New Roman"/>
          <w:sz w:val="20"/>
          <w:szCs w:val="20"/>
        </w:rPr>
        <w:t xml:space="preserve">year observational study of </w:t>
      </w:r>
      <w:r w:rsidRPr="00316331">
        <w:rPr>
          <w:rFonts w:ascii="Times New Roman" w:hAnsi="Times New Roman" w:cs="Times New Roman"/>
          <w:sz w:val="20"/>
          <w:szCs w:val="20"/>
        </w:rPr>
        <w:t>Long Acting Paliperidone Palmitate</w:t>
      </w:r>
    </w:p>
    <w:p w14:paraId="0C754632" w14:textId="77777777" w:rsidR="00E45BE3" w:rsidRPr="00316331" w:rsidRDefault="00E45BE3" w:rsidP="007F1E72">
      <w:pPr>
        <w:spacing w:after="0" w:line="240" w:lineRule="auto"/>
        <w:jc w:val="both"/>
        <w:rPr>
          <w:rFonts w:ascii="Times New Roman" w:eastAsia="Calibri" w:hAnsi="Times New Roman" w:cs="Times New Roman"/>
          <w:iCs/>
          <w:sz w:val="20"/>
          <w:szCs w:val="20"/>
        </w:rPr>
      </w:pPr>
    </w:p>
    <w:p w14:paraId="4FDCFD40" w14:textId="77777777" w:rsidR="00643195" w:rsidRPr="00316331" w:rsidRDefault="00643195" w:rsidP="007F1E72">
      <w:pPr>
        <w:spacing w:after="0" w:line="240" w:lineRule="auto"/>
        <w:jc w:val="both"/>
        <w:rPr>
          <w:rFonts w:ascii="Times New Roman" w:eastAsia="Calibri" w:hAnsi="Times New Roman" w:cs="Times New Roman"/>
          <w:iCs/>
          <w:sz w:val="20"/>
          <w:szCs w:val="20"/>
        </w:rPr>
      </w:pPr>
    </w:p>
    <w:p w14:paraId="0A1295E7" w14:textId="1E0BE44C" w:rsidR="00E45BE3" w:rsidRPr="00316331" w:rsidRDefault="00E41876" w:rsidP="007F1E72">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Sofia Pappa</w:t>
      </w:r>
      <w:r w:rsidRPr="00316331">
        <w:rPr>
          <w:rFonts w:ascii="Times New Roman" w:eastAsia="Calibri" w:hAnsi="Times New Roman" w:cs="Times New Roman"/>
          <w:iCs/>
          <w:sz w:val="20"/>
          <w:szCs w:val="20"/>
          <w:vertAlign w:val="superscript"/>
        </w:rPr>
        <w:t>1,2</w:t>
      </w:r>
      <w:r w:rsidR="00E45BE3"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Joshua Barnett</w:t>
      </w:r>
      <w:r w:rsidRPr="00316331">
        <w:rPr>
          <w:rFonts w:ascii="Times New Roman" w:eastAsia="Calibri" w:hAnsi="Times New Roman" w:cs="Times New Roman"/>
          <w:iCs/>
          <w:sz w:val="20"/>
          <w:szCs w:val="20"/>
          <w:vertAlign w:val="superscript"/>
        </w:rPr>
        <w:t>1,3</w:t>
      </w:r>
      <w:r w:rsidRPr="00316331">
        <w:rPr>
          <w:rFonts w:ascii="Times New Roman" w:eastAsia="Calibri" w:hAnsi="Times New Roman" w:cs="Times New Roman"/>
          <w:iCs/>
          <w:sz w:val="20"/>
          <w:szCs w:val="20"/>
        </w:rPr>
        <w:t>, Katy Mason</w:t>
      </w:r>
      <w:r w:rsidRPr="00316331">
        <w:rPr>
          <w:rFonts w:ascii="Times New Roman" w:eastAsia="Calibri" w:hAnsi="Times New Roman" w:cs="Times New Roman"/>
          <w:iCs/>
          <w:sz w:val="20"/>
          <w:szCs w:val="20"/>
          <w:vertAlign w:val="superscript"/>
        </w:rPr>
        <w:t>1,4</w:t>
      </w:r>
    </w:p>
    <w:p w14:paraId="065BD648" w14:textId="77777777" w:rsidR="00FC591D" w:rsidRPr="00316331" w:rsidRDefault="00FC591D" w:rsidP="007F1E72">
      <w:pPr>
        <w:spacing w:after="0" w:line="240" w:lineRule="auto"/>
        <w:jc w:val="both"/>
        <w:rPr>
          <w:rFonts w:ascii="Times New Roman" w:eastAsia="Calibri" w:hAnsi="Times New Roman" w:cs="Times New Roman"/>
          <w:iCs/>
          <w:sz w:val="20"/>
          <w:szCs w:val="20"/>
        </w:rPr>
      </w:pPr>
    </w:p>
    <w:p w14:paraId="64E1612F" w14:textId="77777777" w:rsidR="00FC591D" w:rsidRPr="00316331" w:rsidRDefault="00FC591D" w:rsidP="007F1E72">
      <w:pPr>
        <w:spacing w:after="0" w:line="240" w:lineRule="auto"/>
        <w:jc w:val="both"/>
        <w:rPr>
          <w:rFonts w:ascii="Times New Roman" w:eastAsia="Calibri" w:hAnsi="Times New Roman" w:cs="Times New Roman"/>
          <w:iCs/>
          <w:sz w:val="20"/>
          <w:szCs w:val="20"/>
        </w:rPr>
      </w:pPr>
    </w:p>
    <w:p w14:paraId="42646644" w14:textId="3CB168C4" w:rsidR="00FC591D" w:rsidRPr="00316331" w:rsidRDefault="00E41876" w:rsidP="007F1E72">
      <w:pPr>
        <w:spacing w:after="0" w:line="240" w:lineRule="auto"/>
        <w:jc w:val="both"/>
        <w:rPr>
          <w:rFonts w:ascii="Times New Roman" w:eastAsia="Calibri" w:hAnsi="Times New Roman" w:cs="Times New Roman"/>
          <w:iCs/>
          <w:sz w:val="20"/>
          <w:szCs w:val="20"/>
          <w:vertAlign w:val="superscript"/>
        </w:rPr>
      </w:pPr>
      <w:r w:rsidRPr="00316331">
        <w:rPr>
          <w:rFonts w:ascii="Times New Roman" w:eastAsia="Calibri" w:hAnsi="Times New Roman" w:cs="Times New Roman"/>
          <w:iCs/>
          <w:sz w:val="20"/>
          <w:szCs w:val="20"/>
        </w:rPr>
        <w:t>West London NHS Trust</w:t>
      </w:r>
      <w:r w:rsidR="004D59E2" w:rsidRPr="00316331">
        <w:rPr>
          <w:rFonts w:ascii="Times New Roman" w:eastAsia="Calibri" w:hAnsi="Times New Roman" w:cs="Times New Roman"/>
          <w:iCs/>
          <w:sz w:val="20"/>
          <w:szCs w:val="20"/>
        </w:rPr>
        <w:t>, London, United Kingdom</w:t>
      </w:r>
      <w:r w:rsidR="00FC591D" w:rsidRPr="00316331">
        <w:rPr>
          <w:rFonts w:ascii="Times New Roman" w:eastAsia="Calibri" w:hAnsi="Times New Roman" w:cs="Times New Roman"/>
          <w:iCs/>
          <w:sz w:val="20"/>
          <w:szCs w:val="20"/>
          <w:vertAlign w:val="superscript"/>
        </w:rPr>
        <w:t>1</w:t>
      </w:r>
    </w:p>
    <w:p w14:paraId="32BC34AC" w14:textId="4BA0390A" w:rsidR="00FC591D" w:rsidRPr="00316331" w:rsidRDefault="006C00AF" w:rsidP="007F1E72">
      <w:pPr>
        <w:spacing w:after="0" w:line="240" w:lineRule="auto"/>
        <w:jc w:val="both"/>
        <w:rPr>
          <w:rFonts w:ascii="Times New Roman" w:eastAsia="Calibri" w:hAnsi="Times New Roman" w:cs="Times New Roman"/>
          <w:iCs/>
          <w:sz w:val="20"/>
          <w:szCs w:val="20"/>
          <w:vertAlign w:val="superscript"/>
        </w:rPr>
      </w:pPr>
      <w:r w:rsidRPr="00316331">
        <w:rPr>
          <w:rFonts w:ascii="Times New Roman" w:eastAsia="Calibri" w:hAnsi="Times New Roman" w:cs="Times New Roman"/>
          <w:iCs/>
          <w:sz w:val="20"/>
          <w:szCs w:val="20"/>
        </w:rPr>
        <w:t>Department of Brain Sciences</w:t>
      </w:r>
      <w:r w:rsidR="00FC591D" w:rsidRPr="00316331">
        <w:rPr>
          <w:rFonts w:ascii="Times New Roman" w:eastAsia="Calibri" w:hAnsi="Times New Roman" w:cs="Times New Roman"/>
          <w:iCs/>
          <w:sz w:val="20"/>
          <w:szCs w:val="20"/>
        </w:rPr>
        <w:t>, Faculty of Medicine, Imperial College, London</w:t>
      </w:r>
      <w:r w:rsidR="004D59E2" w:rsidRPr="00316331">
        <w:rPr>
          <w:rFonts w:ascii="Times New Roman" w:eastAsia="Calibri" w:hAnsi="Times New Roman" w:cs="Times New Roman"/>
          <w:iCs/>
          <w:sz w:val="20"/>
          <w:szCs w:val="20"/>
        </w:rPr>
        <w:t>, United Kingdom</w:t>
      </w:r>
      <w:r w:rsidR="00FC591D" w:rsidRPr="00316331">
        <w:rPr>
          <w:rFonts w:ascii="Times New Roman" w:eastAsia="Calibri" w:hAnsi="Times New Roman" w:cs="Times New Roman"/>
          <w:iCs/>
          <w:sz w:val="20"/>
          <w:szCs w:val="20"/>
          <w:vertAlign w:val="superscript"/>
        </w:rPr>
        <w:t>2</w:t>
      </w:r>
    </w:p>
    <w:p w14:paraId="3A23C6E4" w14:textId="1A01AA97" w:rsidR="00FC591D" w:rsidRPr="00316331" w:rsidRDefault="00E45BE3" w:rsidP="007F1E72">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North East London NHS Foundation Trus</w:t>
      </w:r>
      <w:r w:rsidR="000D27BF" w:rsidRPr="00316331">
        <w:rPr>
          <w:rFonts w:ascii="Times New Roman" w:eastAsia="Calibri" w:hAnsi="Times New Roman" w:cs="Times New Roman"/>
          <w:iCs/>
          <w:sz w:val="20"/>
          <w:szCs w:val="20"/>
        </w:rPr>
        <w:t>t</w:t>
      </w:r>
      <w:r w:rsidR="004D59E2" w:rsidRPr="00316331">
        <w:rPr>
          <w:rFonts w:ascii="Times New Roman" w:eastAsia="Calibri" w:hAnsi="Times New Roman" w:cs="Times New Roman"/>
          <w:iCs/>
          <w:sz w:val="20"/>
          <w:szCs w:val="20"/>
        </w:rPr>
        <w:t>, London, United Kingdom</w:t>
      </w:r>
      <w:r w:rsidR="000D27BF" w:rsidRPr="00316331">
        <w:rPr>
          <w:rFonts w:ascii="Times New Roman" w:eastAsia="Calibri" w:hAnsi="Times New Roman" w:cs="Times New Roman"/>
          <w:iCs/>
          <w:sz w:val="20"/>
          <w:szCs w:val="20"/>
          <w:vertAlign w:val="superscript"/>
        </w:rPr>
        <w:t>3</w:t>
      </w:r>
      <w:r w:rsidRPr="00316331">
        <w:rPr>
          <w:rFonts w:ascii="Times New Roman" w:eastAsia="Calibri" w:hAnsi="Times New Roman" w:cs="Times New Roman"/>
          <w:iCs/>
          <w:sz w:val="20"/>
          <w:szCs w:val="20"/>
        </w:rPr>
        <w:t>,</w:t>
      </w:r>
    </w:p>
    <w:p w14:paraId="4DEA32DA" w14:textId="5FC3FC11" w:rsidR="00E45BE3" w:rsidRPr="00316331" w:rsidRDefault="00E45BE3" w:rsidP="007F1E72">
      <w:pPr>
        <w:spacing w:after="0" w:line="240" w:lineRule="auto"/>
        <w:jc w:val="both"/>
        <w:rPr>
          <w:rFonts w:ascii="Times New Roman" w:eastAsia="Calibri" w:hAnsi="Times New Roman" w:cs="Times New Roman"/>
          <w:iCs/>
          <w:sz w:val="20"/>
          <w:szCs w:val="20"/>
          <w:vertAlign w:val="superscript"/>
        </w:rPr>
      </w:pPr>
      <w:r w:rsidRPr="00316331">
        <w:rPr>
          <w:rFonts w:ascii="Times New Roman" w:eastAsia="Calibri" w:hAnsi="Times New Roman" w:cs="Times New Roman"/>
          <w:iCs/>
          <w:sz w:val="20"/>
          <w:szCs w:val="20"/>
        </w:rPr>
        <w:t>Lancashire and South Cumbria NHS Foundation Trust</w:t>
      </w:r>
      <w:r w:rsidR="004D59E2" w:rsidRPr="00316331">
        <w:rPr>
          <w:rFonts w:ascii="Times New Roman" w:eastAsia="Calibri" w:hAnsi="Times New Roman" w:cs="Times New Roman"/>
          <w:iCs/>
          <w:sz w:val="20"/>
          <w:szCs w:val="20"/>
        </w:rPr>
        <w:t>, Lancashire, United Kingdom</w:t>
      </w:r>
      <w:r w:rsidR="006C00AF" w:rsidRPr="00316331">
        <w:rPr>
          <w:rFonts w:ascii="Times New Roman" w:eastAsia="Calibri" w:hAnsi="Times New Roman" w:cs="Times New Roman"/>
          <w:iCs/>
          <w:sz w:val="20"/>
          <w:szCs w:val="20"/>
          <w:vertAlign w:val="superscript"/>
        </w:rPr>
        <w:t>4</w:t>
      </w:r>
    </w:p>
    <w:p w14:paraId="2CADBF72" w14:textId="77777777" w:rsidR="00E45BE3" w:rsidRPr="00316331" w:rsidRDefault="00E45BE3" w:rsidP="007F1E72">
      <w:pPr>
        <w:spacing w:after="0" w:line="240" w:lineRule="auto"/>
        <w:jc w:val="both"/>
        <w:rPr>
          <w:rFonts w:ascii="Times New Roman" w:eastAsia="Calibri" w:hAnsi="Times New Roman" w:cs="Times New Roman"/>
          <w:iCs/>
          <w:sz w:val="20"/>
          <w:szCs w:val="20"/>
        </w:rPr>
      </w:pPr>
    </w:p>
    <w:p w14:paraId="11644761" w14:textId="21422F4C" w:rsidR="00925B4E" w:rsidRPr="00316331" w:rsidRDefault="00925B4E" w:rsidP="007F1E72">
      <w:pPr>
        <w:spacing w:after="0" w:line="240" w:lineRule="auto"/>
        <w:jc w:val="both"/>
        <w:rPr>
          <w:rFonts w:ascii="Times New Roman" w:eastAsia="Calibri" w:hAnsi="Times New Roman" w:cs="Times New Roman"/>
          <w:iCs/>
          <w:sz w:val="20"/>
          <w:szCs w:val="20"/>
        </w:rPr>
      </w:pPr>
    </w:p>
    <w:p w14:paraId="031D2A77" w14:textId="557C69A5" w:rsidR="00925B4E" w:rsidRPr="00316331" w:rsidRDefault="00925B4E" w:rsidP="007F1E72">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Corresponding author: </w:t>
      </w:r>
      <w:r w:rsidR="00825EE3" w:rsidRPr="00316331">
        <w:rPr>
          <w:rFonts w:ascii="Times New Roman" w:eastAsia="Calibri" w:hAnsi="Times New Roman" w:cs="Times New Roman"/>
          <w:iCs/>
          <w:sz w:val="20"/>
          <w:szCs w:val="20"/>
        </w:rPr>
        <w:t xml:space="preserve">Dr Sofia Pappa, </w:t>
      </w:r>
      <w:hyperlink r:id="rId8" w:history="1">
        <w:r w:rsidR="00825EE3" w:rsidRPr="00316331">
          <w:rPr>
            <w:rStyle w:val="Hyperlink"/>
            <w:rFonts w:ascii="Times New Roman" w:eastAsia="Calibri" w:hAnsi="Times New Roman" w:cs="Times New Roman"/>
            <w:iCs/>
            <w:sz w:val="20"/>
            <w:szCs w:val="20"/>
          </w:rPr>
          <w:t>sofia.pappa@westlondon.nhs.uk</w:t>
        </w:r>
      </w:hyperlink>
      <w:r w:rsidR="00825EE3" w:rsidRPr="00316331">
        <w:rPr>
          <w:rFonts w:ascii="Times New Roman" w:eastAsia="Calibri" w:hAnsi="Times New Roman" w:cs="Times New Roman"/>
          <w:iCs/>
          <w:sz w:val="20"/>
          <w:szCs w:val="20"/>
        </w:rPr>
        <w:t xml:space="preserve"> or </w:t>
      </w:r>
      <w:hyperlink r:id="rId9" w:history="1">
        <w:r w:rsidR="00825EE3" w:rsidRPr="00316331">
          <w:rPr>
            <w:rStyle w:val="Hyperlink"/>
            <w:rFonts w:ascii="Times New Roman" w:eastAsia="Calibri" w:hAnsi="Times New Roman" w:cs="Times New Roman"/>
            <w:iCs/>
            <w:sz w:val="20"/>
            <w:szCs w:val="20"/>
          </w:rPr>
          <w:t>s.pappa@imperial.ac.uk</w:t>
        </w:r>
      </w:hyperlink>
    </w:p>
    <w:p w14:paraId="1C72E5A9" w14:textId="618CCD16" w:rsidR="00825EE3" w:rsidRPr="00316331" w:rsidRDefault="004D59E2" w:rsidP="00F72A61">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Avenue House, </w:t>
      </w:r>
      <w:r w:rsidR="00D633B5">
        <w:rPr>
          <w:rFonts w:ascii="Times New Roman" w:eastAsia="Calibri" w:hAnsi="Times New Roman" w:cs="Times New Roman"/>
          <w:iCs/>
          <w:sz w:val="20"/>
          <w:szCs w:val="20"/>
        </w:rPr>
        <w:t xml:space="preserve">Recovery </w:t>
      </w:r>
      <w:r w:rsidR="00DD74F8">
        <w:rPr>
          <w:rFonts w:ascii="Times New Roman" w:eastAsia="Calibri" w:hAnsi="Times New Roman" w:cs="Times New Roman"/>
          <w:iCs/>
          <w:sz w:val="20"/>
          <w:szCs w:val="20"/>
        </w:rPr>
        <w:t xml:space="preserve">Team East, West London </w:t>
      </w:r>
      <w:r w:rsidR="00D633B5">
        <w:rPr>
          <w:rFonts w:ascii="Times New Roman" w:eastAsia="Calibri" w:hAnsi="Times New Roman" w:cs="Times New Roman"/>
          <w:iCs/>
          <w:sz w:val="20"/>
          <w:szCs w:val="20"/>
        </w:rPr>
        <w:t xml:space="preserve">NHS </w:t>
      </w:r>
      <w:r w:rsidR="00DD74F8">
        <w:rPr>
          <w:rFonts w:ascii="Times New Roman" w:eastAsia="Calibri" w:hAnsi="Times New Roman" w:cs="Times New Roman"/>
          <w:iCs/>
          <w:sz w:val="20"/>
          <w:szCs w:val="20"/>
        </w:rPr>
        <w:t xml:space="preserve">Trust, </w:t>
      </w:r>
      <w:r w:rsidRPr="00316331">
        <w:rPr>
          <w:rFonts w:ascii="Times New Roman" w:hAnsi="Times New Roman" w:cs="Times New Roman"/>
          <w:color w:val="4D5156"/>
          <w:sz w:val="20"/>
          <w:szCs w:val="20"/>
          <w:shd w:val="clear" w:color="auto" w:fill="FFFFFF"/>
        </w:rPr>
        <w:t>43-47 </w:t>
      </w:r>
      <w:r w:rsidRPr="00316331">
        <w:rPr>
          <w:rStyle w:val="Emphasis"/>
          <w:rFonts w:ascii="Times New Roman" w:hAnsi="Times New Roman" w:cs="Times New Roman"/>
          <w:bCs/>
          <w:i w:val="0"/>
          <w:iCs w:val="0"/>
          <w:color w:val="5F6368"/>
          <w:sz w:val="20"/>
          <w:szCs w:val="20"/>
          <w:shd w:val="clear" w:color="auto" w:fill="FFFFFF"/>
        </w:rPr>
        <w:t>Avenue Road</w:t>
      </w:r>
      <w:r w:rsidRPr="00316331">
        <w:rPr>
          <w:rFonts w:ascii="Times New Roman" w:hAnsi="Times New Roman" w:cs="Times New Roman"/>
          <w:color w:val="4D5156"/>
          <w:sz w:val="20"/>
          <w:szCs w:val="20"/>
          <w:shd w:val="clear" w:color="auto" w:fill="FFFFFF"/>
        </w:rPr>
        <w:t>, London, W3 8NJ</w:t>
      </w:r>
      <w:r w:rsidR="00F72A61">
        <w:rPr>
          <w:rFonts w:ascii="Times New Roman" w:hAnsi="Times New Roman" w:cs="Times New Roman"/>
          <w:color w:val="4D5156"/>
          <w:sz w:val="20"/>
          <w:szCs w:val="20"/>
          <w:shd w:val="clear" w:color="auto" w:fill="FFFFFF"/>
        </w:rPr>
        <w:t xml:space="preserve">, United Kingdom </w:t>
      </w:r>
    </w:p>
    <w:p w14:paraId="7E94DC9F" w14:textId="1AB1F2DD" w:rsidR="00643195" w:rsidRPr="00316331" w:rsidRDefault="00643195" w:rsidP="007F1E72">
      <w:pPr>
        <w:spacing w:after="0" w:line="240" w:lineRule="auto"/>
        <w:jc w:val="both"/>
        <w:rPr>
          <w:rFonts w:ascii="Times New Roman" w:hAnsi="Times New Roman" w:cs="Times New Roman"/>
          <w:sz w:val="20"/>
          <w:szCs w:val="20"/>
        </w:rPr>
      </w:pPr>
    </w:p>
    <w:p w14:paraId="2F710C1C" w14:textId="77777777" w:rsidR="00643195" w:rsidRPr="00316331" w:rsidRDefault="00643195" w:rsidP="00643195">
      <w:pPr>
        <w:spacing w:after="0" w:line="240" w:lineRule="auto"/>
        <w:jc w:val="both"/>
        <w:rPr>
          <w:rFonts w:ascii="Times New Roman" w:hAnsi="Times New Roman" w:cs="Times New Roman"/>
          <w:sz w:val="20"/>
          <w:szCs w:val="20"/>
        </w:rPr>
      </w:pPr>
      <w:r w:rsidRPr="00316331">
        <w:rPr>
          <w:rFonts w:ascii="Times New Roman" w:hAnsi="Times New Roman" w:cs="Times New Roman"/>
          <w:sz w:val="20"/>
          <w:szCs w:val="20"/>
        </w:rPr>
        <w:t>ORCiD ID</w:t>
      </w:r>
    </w:p>
    <w:p w14:paraId="1EEA6145" w14:textId="77777777" w:rsidR="00643195" w:rsidRPr="00316331" w:rsidRDefault="00643195" w:rsidP="00643195">
      <w:pPr>
        <w:spacing w:after="0" w:line="240" w:lineRule="auto"/>
        <w:jc w:val="both"/>
        <w:rPr>
          <w:rFonts w:ascii="Times New Roman" w:hAnsi="Times New Roman" w:cs="Times New Roman"/>
          <w:sz w:val="20"/>
          <w:szCs w:val="20"/>
        </w:rPr>
      </w:pPr>
      <w:r w:rsidRPr="00316331">
        <w:rPr>
          <w:rFonts w:ascii="Times New Roman" w:hAnsi="Times New Roman" w:cs="Times New Roman"/>
          <w:sz w:val="20"/>
          <w:szCs w:val="20"/>
        </w:rPr>
        <w:t xml:space="preserve">Sofia Pappa: 0000-0002-6303-1547 </w:t>
      </w:r>
    </w:p>
    <w:p w14:paraId="20A25867" w14:textId="77777777" w:rsidR="00643195" w:rsidRPr="00316331" w:rsidRDefault="00643195" w:rsidP="00643195">
      <w:pPr>
        <w:spacing w:after="0" w:line="240" w:lineRule="auto"/>
        <w:jc w:val="both"/>
        <w:rPr>
          <w:rFonts w:ascii="Times New Roman" w:hAnsi="Times New Roman" w:cs="Times New Roman"/>
          <w:sz w:val="20"/>
          <w:szCs w:val="20"/>
        </w:rPr>
      </w:pPr>
      <w:r w:rsidRPr="00316331">
        <w:rPr>
          <w:rFonts w:ascii="Times New Roman" w:hAnsi="Times New Roman" w:cs="Times New Roman"/>
          <w:sz w:val="20"/>
          <w:szCs w:val="20"/>
        </w:rPr>
        <w:t>Joshua Barnett: 0000-0001-8182-0745</w:t>
      </w:r>
    </w:p>
    <w:p w14:paraId="0F263413" w14:textId="77777777" w:rsidR="00643195" w:rsidRPr="00316331" w:rsidRDefault="00643195" w:rsidP="00643195">
      <w:pPr>
        <w:spacing w:after="0" w:line="240" w:lineRule="auto"/>
        <w:jc w:val="both"/>
        <w:rPr>
          <w:rFonts w:ascii="Times New Roman" w:hAnsi="Times New Roman" w:cs="Times New Roman"/>
          <w:sz w:val="20"/>
          <w:szCs w:val="20"/>
        </w:rPr>
      </w:pPr>
      <w:r w:rsidRPr="00316331">
        <w:rPr>
          <w:rFonts w:ascii="Times New Roman" w:hAnsi="Times New Roman" w:cs="Times New Roman"/>
          <w:sz w:val="20"/>
          <w:szCs w:val="20"/>
        </w:rPr>
        <w:t>Katy Mason: 0000-0003-2150-3419</w:t>
      </w:r>
    </w:p>
    <w:p w14:paraId="47A86969" w14:textId="77777777" w:rsidR="00643195" w:rsidRPr="00316331" w:rsidRDefault="00643195" w:rsidP="00643195">
      <w:pPr>
        <w:spacing w:after="0" w:line="240" w:lineRule="auto"/>
        <w:jc w:val="both"/>
        <w:rPr>
          <w:rFonts w:ascii="Times New Roman" w:hAnsi="Times New Roman" w:cs="Times New Roman"/>
          <w:sz w:val="20"/>
          <w:szCs w:val="20"/>
        </w:rPr>
      </w:pPr>
    </w:p>
    <w:p w14:paraId="18A4580A" w14:textId="77777777" w:rsidR="001C74E1" w:rsidRPr="00316331" w:rsidRDefault="001C74E1" w:rsidP="007F1E72">
      <w:pPr>
        <w:spacing w:after="0" w:line="240" w:lineRule="auto"/>
        <w:jc w:val="both"/>
        <w:rPr>
          <w:rFonts w:ascii="Times New Roman" w:eastAsia="Calibri" w:hAnsi="Times New Roman" w:cs="Times New Roman"/>
          <w:b/>
          <w:bCs/>
          <w:iCs/>
          <w:sz w:val="20"/>
          <w:szCs w:val="20"/>
        </w:rPr>
      </w:pPr>
    </w:p>
    <w:p w14:paraId="088048ED"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83FD3E2"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53DA6B52"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1C099FBF"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5E35E3F3"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D70577A"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5ED1721E"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2730A6AB"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34080666"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139DDDB"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345C16D7"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2A62CDF6"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096B10BB"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52BE815"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41F6D35A"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4D7F48A6"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1B4F2D8C"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EC6BD53"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6F9FD468"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02948BA5" w14:textId="5F670B6D" w:rsidR="00643195" w:rsidRDefault="00643195" w:rsidP="007F1E72">
      <w:pPr>
        <w:spacing w:after="0" w:line="240" w:lineRule="auto"/>
        <w:jc w:val="both"/>
        <w:rPr>
          <w:rFonts w:ascii="Times New Roman" w:eastAsia="Calibri" w:hAnsi="Times New Roman" w:cs="Times New Roman"/>
          <w:b/>
          <w:bCs/>
          <w:iCs/>
          <w:sz w:val="20"/>
          <w:szCs w:val="20"/>
        </w:rPr>
      </w:pPr>
    </w:p>
    <w:p w14:paraId="0F2E48F7" w14:textId="7DB1E293" w:rsidR="00F2629E" w:rsidRDefault="00F2629E" w:rsidP="007F1E72">
      <w:pPr>
        <w:spacing w:after="0" w:line="240" w:lineRule="auto"/>
        <w:jc w:val="both"/>
        <w:rPr>
          <w:rFonts w:ascii="Times New Roman" w:eastAsia="Calibri" w:hAnsi="Times New Roman" w:cs="Times New Roman"/>
          <w:b/>
          <w:bCs/>
          <w:iCs/>
          <w:sz w:val="20"/>
          <w:szCs w:val="20"/>
        </w:rPr>
      </w:pPr>
    </w:p>
    <w:p w14:paraId="2C4E201C" w14:textId="4C328BA4" w:rsidR="00F2629E" w:rsidRDefault="00F2629E" w:rsidP="007F1E72">
      <w:pPr>
        <w:spacing w:after="0" w:line="240" w:lineRule="auto"/>
        <w:jc w:val="both"/>
        <w:rPr>
          <w:rFonts w:ascii="Times New Roman" w:eastAsia="Calibri" w:hAnsi="Times New Roman" w:cs="Times New Roman"/>
          <w:b/>
          <w:bCs/>
          <w:iCs/>
          <w:sz w:val="20"/>
          <w:szCs w:val="20"/>
        </w:rPr>
      </w:pPr>
    </w:p>
    <w:p w14:paraId="4A23F8A1" w14:textId="61062176" w:rsidR="00F2629E" w:rsidRDefault="00F2629E" w:rsidP="007F1E72">
      <w:pPr>
        <w:spacing w:after="0" w:line="240" w:lineRule="auto"/>
        <w:jc w:val="both"/>
        <w:rPr>
          <w:rFonts w:ascii="Times New Roman" w:eastAsia="Calibri" w:hAnsi="Times New Roman" w:cs="Times New Roman"/>
          <w:b/>
          <w:bCs/>
          <w:iCs/>
          <w:sz w:val="20"/>
          <w:szCs w:val="20"/>
        </w:rPr>
      </w:pPr>
    </w:p>
    <w:p w14:paraId="433E9810" w14:textId="535C82BD" w:rsidR="00F2629E" w:rsidRDefault="00F2629E" w:rsidP="007F1E72">
      <w:pPr>
        <w:spacing w:after="0" w:line="240" w:lineRule="auto"/>
        <w:jc w:val="both"/>
        <w:rPr>
          <w:rFonts w:ascii="Times New Roman" w:eastAsia="Calibri" w:hAnsi="Times New Roman" w:cs="Times New Roman"/>
          <w:b/>
          <w:bCs/>
          <w:iCs/>
          <w:sz w:val="20"/>
          <w:szCs w:val="20"/>
        </w:rPr>
      </w:pPr>
    </w:p>
    <w:p w14:paraId="1F108034" w14:textId="571301D0" w:rsidR="00F2629E" w:rsidRDefault="00F2629E" w:rsidP="007F1E72">
      <w:pPr>
        <w:spacing w:after="0" w:line="240" w:lineRule="auto"/>
        <w:jc w:val="both"/>
        <w:rPr>
          <w:rFonts w:ascii="Times New Roman" w:eastAsia="Calibri" w:hAnsi="Times New Roman" w:cs="Times New Roman"/>
          <w:b/>
          <w:bCs/>
          <w:iCs/>
          <w:sz w:val="20"/>
          <w:szCs w:val="20"/>
        </w:rPr>
      </w:pPr>
    </w:p>
    <w:p w14:paraId="0F3967E0" w14:textId="2852B1A7" w:rsidR="00F2629E" w:rsidRDefault="00F2629E" w:rsidP="007F1E72">
      <w:pPr>
        <w:spacing w:after="0" w:line="240" w:lineRule="auto"/>
        <w:jc w:val="both"/>
        <w:rPr>
          <w:rFonts w:ascii="Times New Roman" w:eastAsia="Calibri" w:hAnsi="Times New Roman" w:cs="Times New Roman"/>
          <w:b/>
          <w:bCs/>
          <w:iCs/>
          <w:sz w:val="20"/>
          <w:szCs w:val="20"/>
        </w:rPr>
      </w:pPr>
    </w:p>
    <w:p w14:paraId="07760CC4" w14:textId="56D47E6A" w:rsidR="00F2629E" w:rsidRDefault="00F2629E" w:rsidP="007F1E72">
      <w:pPr>
        <w:spacing w:after="0" w:line="240" w:lineRule="auto"/>
        <w:jc w:val="both"/>
        <w:rPr>
          <w:rFonts w:ascii="Times New Roman" w:eastAsia="Calibri" w:hAnsi="Times New Roman" w:cs="Times New Roman"/>
          <w:b/>
          <w:bCs/>
          <w:iCs/>
          <w:sz w:val="20"/>
          <w:szCs w:val="20"/>
        </w:rPr>
      </w:pPr>
    </w:p>
    <w:p w14:paraId="31027FBA" w14:textId="47EAC688" w:rsidR="00F2629E" w:rsidRDefault="00F2629E" w:rsidP="007F1E72">
      <w:pPr>
        <w:spacing w:after="0" w:line="240" w:lineRule="auto"/>
        <w:jc w:val="both"/>
        <w:rPr>
          <w:rFonts w:ascii="Times New Roman" w:eastAsia="Calibri" w:hAnsi="Times New Roman" w:cs="Times New Roman"/>
          <w:b/>
          <w:bCs/>
          <w:iCs/>
          <w:sz w:val="20"/>
          <w:szCs w:val="20"/>
        </w:rPr>
      </w:pPr>
    </w:p>
    <w:p w14:paraId="14CF1F95" w14:textId="68FB583D" w:rsidR="00F2629E" w:rsidRDefault="00F2629E" w:rsidP="007F1E72">
      <w:pPr>
        <w:spacing w:after="0" w:line="240" w:lineRule="auto"/>
        <w:jc w:val="both"/>
        <w:rPr>
          <w:rFonts w:ascii="Times New Roman" w:eastAsia="Calibri" w:hAnsi="Times New Roman" w:cs="Times New Roman"/>
          <w:b/>
          <w:bCs/>
          <w:iCs/>
          <w:sz w:val="20"/>
          <w:szCs w:val="20"/>
        </w:rPr>
      </w:pPr>
    </w:p>
    <w:p w14:paraId="0D751672" w14:textId="5FEAD7AC" w:rsidR="00F2629E" w:rsidRDefault="00F2629E" w:rsidP="007F1E72">
      <w:pPr>
        <w:spacing w:after="0" w:line="240" w:lineRule="auto"/>
        <w:jc w:val="both"/>
        <w:rPr>
          <w:rFonts w:ascii="Times New Roman" w:eastAsia="Calibri" w:hAnsi="Times New Roman" w:cs="Times New Roman"/>
          <w:b/>
          <w:bCs/>
          <w:iCs/>
          <w:sz w:val="20"/>
          <w:szCs w:val="20"/>
        </w:rPr>
      </w:pPr>
    </w:p>
    <w:p w14:paraId="4F60CD88" w14:textId="4FB9B166" w:rsidR="00F2629E" w:rsidRDefault="00F2629E" w:rsidP="007F1E72">
      <w:pPr>
        <w:spacing w:after="0" w:line="240" w:lineRule="auto"/>
        <w:jc w:val="both"/>
        <w:rPr>
          <w:rFonts w:ascii="Times New Roman" w:eastAsia="Calibri" w:hAnsi="Times New Roman" w:cs="Times New Roman"/>
          <w:b/>
          <w:bCs/>
          <w:iCs/>
          <w:sz w:val="20"/>
          <w:szCs w:val="20"/>
        </w:rPr>
      </w:pPr>
    </w:p>
    <w:p w14:paraId="21D76B7A" w14:textId="6042DD7E" w:rsidR="00F2629E" w:rsidRDefault="00F2629E" w:rsidP="007F1E72">
      <w:pPr>
        <w:spacing w:after="0" w:line="240" w:lineRule="auto"/>
        <w:jc w:val="both"/>
        <w:rPr>
          <w:rFonts w:ascii="Times New Roman" w:eastAsia="Calibri" w:hAnsi="Times New Roman" w:cs="Times New Roman"/>
          <w:b/>
          <w:bCs/>
          <w:iCs/>
          <w:sz w:val="20"/>
          <w:szCs w:val="20"/>
        </w:rPr>
      </w:pPr>
    </w:p>
    <w:p w14:paraId="00381121" w14:textId="01F5D71D" w:rsidR="00F2629E" w:rsidRDefault="00F2629E" w:rsidP="007F1E72">
      <w:pPr>
        <w:spacing w:after="0" w:line="240" w:lineRule="auto"/>
        <w:jc w:val="both"/>
        <w:rPr>
          <w:rFonts w:ascii="Times New Roman" w:eastAsia="Calibri" w:hAnsi="Times New Roman" w:cs="Times New Roman"/>
          <w:b/>
          <w:bCs/>
          <w:iCs/>
          <w:sz w:val="20"/>
          <w:szCs w:val="20"/>
        </w:rPr>
      </w:pPr>
    </w:p>
    <w:p w14:paraId="4F4A28E3" w14:textId="6B0F5AE7" w:rsidR="00F2629E" w:rsidRDefault="00F2629E" w:rsidP="007F1E72">
      <w:pPr>
        <w:spacing w:after="0" w:line="240" w:lineRule="auto"/>
        <w:jc w:val="both"/>
        <w:rPr>
          <w:rFonts w:ascii="Times New Roman" w:eastAsia="Calibri" w:hAnsi="Times New Roman" w:cs="Times New Roman"/>
          <w:b/>
          <w:bCs/>
          <w:iCs/>
          <w:sz w:val="20"/>
          <w:szCs w:val="20"/>
        </w:rPr>
      </w:pPr>
    </w:p>
    <w:p w14:paraId="471F30A6" w14:textId="77777777" w:rsidR="00F2629E" w:rsidRPr="00316331" w:rsidRDefault="00F2629E" w:rsidP="007F1E72">
      <w:pPr>
        <w:spacing w:after="0" w:line="240" w:lineRule="auto"/>
        <w:jc w:val="both"/>
        <w:rPr>
          <w:rFonts w:ascii="Times New Roman" w:eastAsia="Calibri" w:hAnsi="Times New Roman" w:cs="Times New Roman"/>
          <w:b/>
          <w:bCs/>
          <w:iCs/>
          <w:sz w:val="20"/>
          <w:szCs w:val="20"/>
        </w:rPr>
      </w:pPr>
    </w:p>
    <w:p w14:paraId="6D1DAB4B" w14:textId="77777777" w:rsidR="00643195" w:rsidRPr="00316331" w:rsidRDefault="00643195" w:rsidP="007F1E72">
      <w:pPr>
        <w:spacing w:after="0" w:line="240" w:lineRule="auto"/>
        <w:jc w:val="both"/>
        <w:rPr>
          <w:rFonts w:ascii="Times New Roman" w:eastAsia="Calibri" w:hAnsi="Times New Roman" w:cs="Times New Roman"/>
          <w:b/>
          <w:bCs/>
          <w:iCs/>
          <w:sz w:val="20"/>
          <w:szCs w:val="20"/>
        </w:rPr>
      </w:pPr>
    </w:p>
    <w:p w14:paraId="30AB3492" w14:textId="17BDF2F0" w:rsidR="007F1E72" w:rsidRPr="00316331" w:rsidRDefault="00E45BE3" w:rsidP="007F1E72">
      <w:pPr>
        <w:spacing w:after="0" w:line="240" w:lineRule="auto"/>
        <w:jc w:val="both"/>
        <w:rPr>
          <w:rFonts w:ascii="Times New Roman" w:eastAsia="Calibri" w:hAnsi="Times New Roman" w:cs="Times New Roman"/>
          <w:b/>
          <w:bCs/>
          <w:iCs/>
          <w:sz w:val="20"/>
          <w:szCs w:val="20"/>
        </w:rPr>
      </w:pPr>
      <w:r w:rsidRPr="00316331">
        <w:rPr>
          <w:rFonts w:ascii="Times New Roman" w:eastAsia="Calibri" w:hAnsi="Times New Roman" w:cs="Times New Roman"/>
          <w:b/>
          <w:bCs/>
          <w:iCs/>
          <w:sz w:val="20"/>
          <w:szCs w:val="20"/>
        </w:rPr>
        <w:t>Abstract</w:t>
      </w:r>
    </w:p>
    <w:p w14:paraId="1E439184" w14:textId="1D825CDF" w:rsidR="00825EE3" w:rsidRPr="00316331" w:rsidRDefault="00825EE3" w:rsidP="007F1E72">
      <w:pPr>
        <w:spacing w:after="0" w:line="240" w:lineRule="auto"/>
        <w:jc w:val="both"/>
        <w:rPr>
          <w:rFonts w:ascii="Times New Roman" w:eastAsia="Calibri" w:hAnsi="Times New Roman" w:cs="Times New Roman"/>
          <w:bCs/>
          <w:iCs/>
          <w:sz w:val="20"/>
          <w:szCs w:val="20"/>
        </w:rPr>
      </w:pPr>
    </w:p>
    <w:p w14:paraId="4E63F0E1" w14:textId="3B41AEFB" w:rsidR="00825EE3" w:rsidRPr="00316331" w:rsidRDefault="00825EE3" w:rsidP="00825EE3">
      <w:pPr>
        <w:rPr>
          <w:rFonts w:ascii="Times New Roman" w:hAnsi="Times New Roman" w:cs="Times New Roman"/>
          <w:iCs/>
          <w:sz w:val="20"/>
          <w:szCs w:val="20"/>
        </w:rPr>
      </w:pPr>
      <w:r w:rsidRPr="00316331">
        <w:rPr>
          <w:rFonts w:ascii="Times New Roman" w:hAnsi="Times New Roman" w:cs="Times New Roman"/>
          <w:b/>
          <w:bCs/>
          <w:iCs/>
          <w:sz w:val="20"/>
          <w:szCs w:val="20"/>
        </w:rPr>
        <w:t xml:space="preserve">Background: </w:t>
      </w:r>
      <w:r w:rsidRPr="00316331">
        <w:rPr>
          <w:rFonts w:ascii="Times New Roman" w:hAnsi="Times New Roman" w:cs="Times New Roman"/>
          <w:iCs/>
          <w:sz w:val="20"/>
          <w:szCs w:val="20"/>
        </w:rPr>
        <w:t xml:space="preserve"> Long-acting injectable antipsychotics (LAIs) have been shown to improve adherence and relapse in the treatment of schizophrenia and psychotic disorders, though longitudinal data on treatment outcomes are limited. </w:t>
      </w:r>
    </w:p>
    <w:p w14:paraId="211B7BA1" w14:textId="77777777" w:rsidR="00D9171F" w:rsidRPr="00316331" w:rsidRDefault="00D9171F" w:rsidP="00D9171F">
      <w:pPr>
        <w:rPr>
          <w:rFonts w:ascii="Times New Roman" w:hAnsi="Times New Roman" w:cs="Times New Roman"/>
          <w:iCs/>
          <w:sz w:val="20"/>
          <w:szCs w:val="20"/>
        </w:rPr>
      </w:pPr>
      <w:r w:rsidRPr="00316331">
        <w:rPr>
          <w:rFonts w:ascii="Times New Roman" w:hAnsi="Times New Roman" w:cs="Times New Roman"/>
          <w:b/>
          <w:iCs/>
          <w:sz w:val="20"/>
          <w:szCs w:val="20"/>
        </w:rPr>
        <w:t>Objectives:</w:t>
      </w:r>
      <w:r w:rsidRPr="00316331">
        <w:rPr>
          <w:rFonts w:ascii="Times New Roman" w:hAnsi="Times New Roman" w:cs="Times New Roman"/>
          <w:iCs/>
          <w:sz w:val="20"/>
          <w:szCs w:val="20"/>
        </w:rPr>
        <w:t xml:space="preserve"> To establish the long-term acceptability and effectiveness of Paliperidone Palimitate once-monthly (PP1M)</w:t>
      </w:r>
    </w:p>
    <w:p w14:paraId="6B1CBC08" w14:textId="2C020F7B" w:rsidR="00825EE3" w:rsidRPr="00316331" w:rsidRDefault="00825EE3" w:rsidP="00825EE3">
      <w:pPr>
        <w:spacing w:after="160" w:line="259" w:lineRule="auto"/>
        <w:rPr>
          <w:rFonts w:ascii="Times New Roman" w:hAnsi="Times New Roman" w:cs="Times New Roman"/>
          <w:iCs/>
          <w:sz w:val="20"/>
          <w:szCs w:val="20"/>
        </w:rPr>
      </w:pPr>
      <w:r w:rsidRPr="00316331">
        <w:rPr>
          <w:rFonts w:ascii="Times New Roman" w:hAnsi="Times New Roman" w:cs="Times New Roman"/>
          <w:b/>
          <w:bCs/>
          <w:iCs/>
          <w:sz w:val="20"/>
          <w:szCs w:val="20"/>
        </w:rPr>
        <w:t xml:space="preserve">Methods: </w:t>
      </w:r>
      <w:r w:rsidRPr="00316331">
        <w:rPr>
          <w:rFonts w:ascii="Times New Roman" w:hAnsi="Times New Roman" w:cs="Times New Roman"/>
          <w:iCs/>
          <w:sz w:val="20"/>
          <w:szCs w:val="20"/>
        </w:rPr>
        <w:t xml:space="preserve">This independent 10-year mirror image study </w:t>
      </w:r>
      <w:r w:rsidR="00B6009A" w:rsidRPr="00316331">
        <w:rPr>
          <w:rFonts w:ascii="Times New Roman" w:hAnsi="Times New Roman" w:cs="Times New Roman"/>
          <w:iCs/>
          <w:sz w:val="20"/>
          <w:szCs w:val="20"/>
        </w:rPr>
        <w:t xml:space="preserve">was carried out in a large urban mental health provider. </w:t>
      </w:r>
      <w:r w:rsidR="008C7FE5" w:rsidRPr="00316331">
        <w:rPr>
          <w:rFonts w:ascii="Times New Roman" w:hAnsi="Times New Roman" w:cs="Times New Roman"/>
          <w:iCs/>
          <w:sz w:val="20"/>
          <w:szCs w:val="20"/>
        </w:rPr>
        <w:t>The study</w:t>
      </w:r>
      <w:r w:rsidR="00B6009A" w:rsidRPr="00316331">
        <w:rPr>
          <w:rFonts w:ascii="Times New Roman" w:hAnsi="Times New Roman" w:cs="Times New Roman"/>
          <w:iCs/>
          <w:sz w:val="20"/>
          <w:szCs w:val="20"/>
        </w:rPr>
        <w:t xml:space="preserve"> </w:t>
      </w:r>
      <w:r w:rsidRPr="00316331">
        <w:rPr>
          <w:rFonts w:ascii="Times New Roman" w:hAnsi="Times New Roman" w:cs="Times New Roman"/>
          <w:iCs/>
          <w:sz w:val="20"/>
          <w:szCs w:val="20"/>
        </w:rPr>
        <w:t>evaluated the retention and hospitalization rates five years following initiation of P</w:t>
      </w:r>
      <w:r w:rsidR="00E21A8E" w:rsidRPr="00316331">
        <w:rPr>
          <w:rFonts w:ascii="Times New Roman" w:hAnsi="Times New Roman" w:cs="Times New Roman"/>
          <w:iCs/>
          <w:sz w:val="20"/>
          <w:szCs w:val="20"/>
        </w:rPr>
        <w:t>P1M</w:t>
      </w:r>
      <w:r w:rsidRPr="00316331">
        <w:rPr>
          <w:rFonts w:ascii="Times New Roman" w:hAnsi="Times New Roman" w:cs="Times New Roman"/>
          <w:iCs/>
          <w:sz w:val="20"/>
          <w:szCs w:val="20"/>
        </w:rPr>
        <w:t xml:space="preserve"> in a naturalistic patient cohort</w:t>
      </w:r>
      <w:r w:rsidR="00B6009A" w:rsidRPr="00316331">
        <w:rPr>
          <w:rFonts w:ascii="Times New Roman" w:eastAsia="Calibri" w:hAnsi="Times New Roman" w:cs="Times New Roman"/>
          <w:iCs/>
          <w:sz w:val="20"/>
          <w:szCs w:val="20"/>
        </w:rPr>
        <w:t xml:space="preserve"> of all adult patients who were </w:t>
      </w:r>
      <w:r w:rsidR="00087340" w:rsidRPr="00316331">
        <w:rPr>
          <w:rFonts w:ascii="Times New Roman" w:eastAsia="Calibri" w:hAnsi="Times New Roman" w:cs="Times New Roman"/>
          <w:iCs/>
          <w:sz w:val="20"/>
          <w:szCs w:val="20"/>
        </w:rPr>
        <w:t xml:space="preserve">newly </w:t>
      </w:r>
      <w:r w:rsidR="00B6009A" w:rsidRPr="00316331">
        <w:rPr>
          <w:rFonts w:ascii="Times New Roman" w:eastAsia="Calibri" w:hAnsi="Times New Roman" w:cs="Times New Roman"/>
          <w:iCs/>
          <w:sz w:val="20"/>
          <w:szCs w:val="20"/>
        </w:rPr>
        <w:t xml:space="preserve">initiated on PP1M between 2011-2015. Electronic records were used </w:t>
      </w:r>
      <w:r w:rsidR="00B6009A" w:rsidRPr="00316331">
        <w:rPr>
          <w:rFonts w:ascii="Times New Roman" w:hAnsi="Times New Roman" w:cs="Times New Roman"/>
          <w:iCs/>
          <w:sz w:val="20"/>
          <w:szCs w:val="20"/>
        </w:rPr>
        <w:t xml:space="preserve">to </w:t>
      </w:r>
      <w:r w:rsidRPr="00316331">
        <w:rPr>
          <w:rFonts w:ascii="Times New Roman" w:hAnsi="Times New Roman" w:cs="Times New Roman"/>
          <w:iCs/>
          <w:sz w:val="20"/>
          <w:szCs w:val="20"/>
        </w:rPr>
        <w:t xml:space="preserve">compare the frequency and length of hospital admissions </w:t>
      </w:r>
      <w:r w:rsidRPr="00062D31">
        <w:rPr>
          <w:rFonts w:ascii="Times New Roman" w:hAnsi="Times New Roman" w:cs="Times New Roman"/>
          <w:iCs/>
          <w:sz w:val="20"/>
          <w:szCs w:val="20"/>
        </w:rPr>
        <w:t xml:space="preserve">in the </w:t>
      </w:r>
      <w:r w:rsidR="008C7FE5" w:rsidRPr="00316331">
        <w:rPr>
          <w:rFonts w:ascii="Times New Roman" w:hAnsi="Times New Roman" w:cs="Times New Roman"/>
          <w:iCs/>
          <w:sz w:val="20"/>
          <w:szCs w:val="20"/>
        </w:rPr>
        <w:t xml:space="preserve">five years </w:t>
      </w:r>
      <w:r w:rsidR="00062D31">
        <w:rPr>
          <w:rFonts w:ascii="Times New Roman" w:hAnsi="Times New Roman" w:cs="Times New Roman"/>
          <w:iCs/>
          <w:sz w:val="20"/>
          <w:szCs w:val="20"/>
        </w:rPr>
        <w:t xml:space="preserve">before and after introduction </w:t>
      </w:r>
      <w:r w:rsidR="008C7FE5" w:rsidRPr="00316331">
        <w:rPr>
          <w:rFonts w:ascii="Times New Roman" w:hAnsi="Times New Roman" w:cs="Times New Roman"/>
          <w:iCs/>
          <w:sz w:val="20"/>
          <w:szCs w:val="20"/>
        </w:rPr>
        <w:t>of PP1M</w:t>
      </w:r>
      <w:r w:rsidRPr="00316331">
        <w:rPr>
          <w:rFonts w:ascii="Times New Roman" w:hAnsi="Times New Roman" w:cs="Times New Roman"/>
          <w:iCs/>
          <w:sz w:val="20"/>
          <w:szCs w:val="20"/>
        </w:rPr>
        <w:t xml:space="preserve">. Switching and discontinuation </w:t>
      </w:r>
      <w:r w:rsidR="00D029C9" w:rsidRPr="00316331">
        <w:rPr>
          <w:rFonts w:ascii="Times New Roman" w:hAnsi="Times New Roman" w:cs="Times New Roman"/>
          <w:iCs/>
          <w:sz w:val="20"/>
          <w:szCs w:val="20"/>
        </w:rPr>
        <w:t xml:space="preserve">rates and </w:t>
      </w:r>
      <w:r w:rsidRPr="00316331">
        <w:rPr>
          <w:rFonts w:ascii="Times New Roman" w:hAnsi="Times New Roman" w:cs="Times New Roman"/>
          <w:iCs/>
          <w:sz w:val="20"/>
          <w:szCs w:val="20"/>
        </w:rPr>
        <w:t>reasons were also recorded</w:t>
      </w:r>
      <w:r w:rsidR="008C7FE5" w:rsidRPr="00316331">
        <w:rPr>
          <w:rFonts w:ascii="Times New Roman" w:hAnsi="Times New Roman" w:cs="Times New Roman"/>
          <w:iCs/>
          <w:sz w:val="20"/>
          <w:szCs w:val="20"/>
        </w:rPr>
        <w:t xml:space="preserve"> with a separate analysis of patients who continued and discontinued PP1M</w:t>
      </w:r>
      <w:r w:rsidR="00062D31">
        <w:rPr>
          <w:rFonts w:ascii="Times New Roman" w:hAnsi="Times New Roman" w:cs="Times New Roman"/>
          <w:iCs/>
          <w:sz w:val="20"/>
          <w:szCs w:val="20"/>
        </w:rPr>
        <w:t xml:space="preserve"> during the study period</w:t>
      </w:r>
      <w:r w:rsidRPr="00316331">
        <w:rPr>
          <w:rFonts w:ascii="Times New Roman" w:hAnsi="Times New Roman" w:cs="Times New Roman"/>
          <w:iCs/>
          <w:sz w:val="20"/>
          <w:szCs w:val="20"/>
        </w:rPr>
        <w:t>.</w:t>
      </w:r>
    </w:p>
    <w:p w14:paraId="48666602" w14:textId="79AB2FFC" w:rsidR="00825EE3" w:rsidRPr="00316331" w:rsidRDefault="00825EE3" w:rsidP="00825EE3">
      <w:pPr>
        <w:spacing w:after="160" w:line="259" w:lineRule="auto"/>
        <w:rPr>
          <w:rFonts w:ascii="Times New Roman" w:hAnsi="Times New Roman" w:cs="Times New Roman"/>
          <w:iCs/>
          <w:sz w:val="20"/>
          <w:szCs w:val="20"/>
        </w:rPr>
      </w:pPr>
      <w:r w:rsidRPr="00316331">
        <w:rPr>
          <w:rFonts w:ascii="Times New Roman" w:hAnsi="Times New Roman" w:cs="Times New Roman"/>
          <w:b/>
          <w:bCs/>
          <w:iCs/>
          <w:sz w:val="20"/>
          <w:szCs w:val="20"/>
        </w:rPr>
        <w:t xml:space="preserve">Results: </w:t>
      </w:r>
      <w:r w:rsidRPr="00316331">
        <w:rPr>
          <w:rFonts w:ascii="Times New Roman" w:hAnsi="Times New Roman" w:cs="Times New Roman"/>
          <w:iCs/>
          <w:sz w:val="20"/>
          <w:szCs w:val="20"/>
        </w:rPr>
        <w:t xml:space="preserve">A total of 167 patients were included in the study (70% with schizophrenia, 30% with other diagnoses). Discontinuation rates were 24%, 15%, 17%, 5% and 8% in years 1 to 5; poor tolerability was the most common cause for stopping PP1M. Demographic and clinical factors such as age, </w:t>
      </w:r>
      <w:r w:rsidR="00A3786B" w:rsidRPr="00316331">
        <w:rPr>
          <w:rFonts w:ascii="Times New Roman" w:hAnsi="Times New Roman" w:cs="Times New Roman"/>
          <w:iCs/>
          <w:sz w:val="20"/>
          <w:szCs w:val="20"/>
        </w:rPr>
        <w:t>sex,</w:t>
      </w:r>
      <w:r w:rsidRPr="00316331">
        <w:rPr>
          <w:rFonts w:ascii="Times New Roman" w:hAnsi="Times New Roman" w:cs="Times New Roman"/>
          <w:iCs/>
          <w:sz w:val="20"/>
          <w:szCs w:val="20"/>
        </w:rPr>
        <w:t xml:space="preserve"> diagnosis and care setting did not discriminate between continuers and discontinuers. The group that completed 5 years on PP1M (46%) </w:t>
      </w:r>
      <w:r w:rsidR="00D3185C" w:rsidRPr="00316331">
        <w:rPr>
          <w:rFonts w:ascii="Times New Roman" w:hAnsi="Times New Roman" w:cs="Times New Roman"/>
          <w:iCs/>
          <w:sz w:val="20"/>
          <w:szCs w:val="20"/>
        </w:rPr>
        <w:t>showed</w:t>
      </w:r>
      <w:r w:rsidR="00D029C9" w:rsidRPr="00316331">
        <w:rPr>
          <w:rFonts w:ascii="Times New Roman" w:hAnsi="Times New Roman" w:cs="Times New Roman"/>
          <w:iCs/>
          <w:sz w:val="20"/>
          <w:szCs w:val="20"/>
        </w:rPr>
        <w:t xml:space="preserve"> </w:t>
      </w:r>
      <w:r w:rsidRPr="00316331">
        <w:rPr>
          <w:rFonts w:ascii="Times New Roman" w:hAnsi="Times New Roman" w:cs="Times New Roman"/>
          <w:iCs/>
          <w:sz w:val="20"/>
          <w:szCs w:val="20"/>
        </w:rPr>
        <w:t>an overall reduction of 72% in the mean number and 68% in the mean length of admissions compared to the 5-year period before initiation</w:t>
      </w:r>
      <w:r w:rsidR="00750C3C" w:rsidRPr="00316331">
        <w:rPr>
          <w:rFonts w:ascii="Times New Roman" w:hAnsi="Times New Roman" w:cs="Times New Roman"/>
          <w:iCs/>
          <w:sz w:val="20"/>
          <w:szCs w:val="20"/>
        </w:rPr>
        <w:t>, with m</w:t>
      </w:r>
      <w:r w:rsidRPr="00316331">
        <w:rPr>
          <w:rFonts w:ascii="Times New Roman" w:hAnsi="Times New Roman" w:cs="Times New Roman"/>
          <w:iCs/>
          <w:sz w:val="20"/>
          <w:szCs w:val="20"/>
        </w:rPr>
        <w:t xml:space="preserve">ore than half of the patients </w:t>
      </w:r>
      <w:r w:rsidR="00441EC7" w:rsidRPr="00316331">
        <w:rPr>
          <w:rFonts w:ascii="Times New Roman" w:hAnsi="Times New Roman" w:cs="Times New Roman"/>
          <w:iCs/>
          <w:sz w:val="20"/>
          <w:szCs w:val="20"/>
        </w:rPr>
        <w:t xml:space="preserve">requiring </w:t>
      </w:r>
      <w:r w:rsidRPr="00316331">
        <w:rPr>
          <w:rFonts w:ascii="Times New Roman" w:hAnsi="Times New Roman" w:cs="Times New Roman"/>
          <w:iCs/>
          <w:sz w:val="20"/>
          <w:szCs w:val="20"/>
        </w:rPr>
        <w:t xml:space="preserve">no admission </w:t>
      </w:r>
      <w:r w:rsidR="00441EC7" w:rsidRPr="00316331">
        <w:rPr>
          <w:rFonts w:ascii="Times New Roman" w:hAnsi="Times New Roman" w:cs="Times New Roman"/>
          <w:iCs/>
          <w:sz w:val="20"/>
          <w:szCs w:val="20"/>
        </w:rPr>
        <w:t xml:space="preserve">at all </w:t>
      </w:r>
      <w:r w:rsidRPr="00316331">
        <w:rPr>
          <w:rFonts w:ascii="Times New Roman" w:hAnsi="Times New Roman" w:cs="Times New Roman"/>
          <w:iCs/>
          <w:sz w:val="20"/>
          <w:szCs w:val="20"/>
        </w:rPr>
        <w:t>during this period of time (median=0)</w:t>
      </w:r>
      <w:r w:rsidR="00D3185C" w:rsidRPr="00316331">
        <w:rPr>
          <w:rFonts w:ascii="Times New Roman" w:hAnsi="Times New Roman" w:cs="Times New Roman"/>
          <w:iCs/>
          <w:sz w:val="20"/>
          <w:szCs w:val="20"/>
        </w:rPr>
        <w:t>. On the contrary, discontinuers demonstrated worse outcomes in overall bed occupancy</w:t>
      </w:r>
      <w:r w:rsidR="00516F07">
        <w:rPr>
          <w:rFonts w:ascii="Times New Roman" w:hAnsi="Times New Roman" w:cs="Times New Roman"/>
          <w:iCs/>
          <w:sz w:val="20"/>
          <w:szCs w:val="20"/>
        </w:rPr>
        <w:t xml:space="preserve"> than continuers</w:t>
      </w:r>
      <w:r w:rsidR="00441EC7" w:rsidRPr="00316331">
        <w:rPr>
          <w:rFonts w:ascii="Times New Roman" w:hAnsi="Times New Roman" w:cs="Times New Roman"/>
          <w:iCs/>
          <w:sz w:val="20"/>
          <w:szCs w:val="20"/>
        </w:rPr>
        <w:t xml:space="preserve">. </w:t>
      </w:r>
      <w:r w:rsidR="00441EC7" w:rsidRPr="00316331">
        <w:rPr>
          <w:rFonts w:ascii="Times New Roman" w:hAnsi="Times New Roman" w:cs="Times New Roman"/>
          <w:bCs/>
          <w:iCs/>
          <w:sz w:val="20"/>
          <w:szCs w:val="20"/>
        </w:rPr>
        <w:t xml:space="preserve">Findings were overall similar </w:t>
      </w:r>
      <w:r w:rsidR="0089336D">
        <w:rPr>
          <w:rFonts w:ascii="Times New Roman" w:hAnsi="Times New Roman" w:cs="Times New Roman"/>
          <w:bCs/>
          <w:iCs/>
          <w:sz w:val="20"/>
          <w:szCs w:val="20"/>
        </w:rPr>
        <w:t>across</w:t>
      </w:r>
      <w:r w:rsidR="00441EC7" w:rsidRPr="00316331">
        <w:rPr>
          <w:rFonts w:ascii="Times New Roman" w:hAnsi="Times New Roman" w:cs="Times New Roman"/>
          <w:bCs/>
          <w:iCs/>
          <w:sz w:val="20"/>
          <w:szCs w:val="20"/>
        </w:rPr>
        <w:t xml:space="preserve"> the total cohort and schizophrenia only group. </w:t>
      </w:r>
    </w:p>
    <w:p w14:paraId="1B64322C" w14:textId="1473D64A" w:rsidR="00825EE3" w:rsidRPr="00316331" w:rsidRDefault="00825EE3" w:rsidP="00825EE3">
      <w:pPr>
        <w:spacing w:after="160" w:line="259" w:lineRule="auto"/>
        <w:rPr>
          <w:rFonts w:ascii="Times New Roman" w:hAnsi="Times New Roman" w:cs="Times New Roman"/>
          <w:iCs/>
          <w:sz w:val="20"/>
          <w:szCs w:val="20"/>
        </w:rPr>
      </w:pPr>
      <w:r w:rsidRPr="00316331">
        <w:rPr>
          <w:rFonts w:ascii="Times New Roman" w:hAnsi="Times New Roman" w:cs="Times New Roman"/>
          <w:b/>
          <w:bCs/>
          <w:iCs/>
          <w:sz w:val="20"/>
          <w:szCs w:val="20"/>
        </w:rPr>
        <w:t xml:space="preserve">Conclusions: </w:t>
      </w:r>
      <w:r w:rsidRPr="00316331">
        <w:rPr>
          <w:rFonts w:ascii="Times New Roman" w:hAnsi="Times New Roman" w:cs="Times New Roman"/>
          <w:bCs/>
          <w:iCs/>
          <w:sz w:val="20"/>
          <w:szCs w:val="20"/>
        </w:rPr>
        <w:t xml:space="preserve">Our study has one of the longest duration of follow up of a patient population treated with LAIs confirming sustained improvements </w:t>
      </w:r>
      <w:r w:rsidR="00B40302">
        <w:rPr>
          <w:rFonts w:ascii="Times New Roman" w:hAnsi="Times New Roman" w:cs="Times New Roman"/>
          <w:bCs/>
          <w:iCs/>
          <w:sz w:val="20"/>
          <w:szCs w:val="20"/>
        </w:rPr>
        <w:t xml:space="preserve">for patients who continued treatment for </w:t>
      </w:r>
      <w:r w:rsidRPr="00316331">
        <w:rPr>
          <w:rFonts w:ascii="Times New Roman" w:hAnsi="Times New Roman" w:cs="Times New Roman"/>
          <w:bCs/>
          <w:iCs/>
          <w:sz w:val="20"/>
          <w:szCs w:val="20"/>
        </w:rPr>
        <w:t>up to five years with implicit implications for cost effectiveness. Study findings may facilitate shared decision making in this area overcoming some of the common barriers for use.</w:t>
      </w:r>
    </w:p>
    <w:p w14:paraId="685472FA" w14:textId="77777777" w:rsidR="00825EE3" w:rsidRPr="00316331" w:rsidRDefault="00825EE3" w:rsidP="007F1E72">
      <w:pPr>
        <w:spacing w:after="0" w:line="240" w:lineRule="auto"/>
        <w:jc w:val="both"/>
        <w:rPr>
          <w:rFonts w:ascii="Times New Roman" w:eastAsia="Calibri" w:hAnsi="Times New Roman" w:cs="Times New Roman"/>
          <w:iCs/>
          <w:sz w:val="20"/>
          <w:szCs w:val="20"/>
        </w:rPr>
      </w:pPr>
    </w:p>
    <w:p w14:paraId="48B28F1A" w14:textId="367E6C76" w:rsidR="00D9171F" w:rsidRPr="00316331" w:rsidRDefault="00643195" w:rsidP="00643195">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b/>
          <w:iCs/>
          <w:sz w:val="20"/>
          <w:szCs w:val="20"/>
        </w:rPr>
        <w:t>Key Points</w:t>
      </w:r>
      <w:r w:rsidRPr="00316331">
        <w:rPr>
          <w:rFonts w:ascii="Times New Roman" w:eastAsia="Calibri" w:hAnsi="Times New Roman" w:cs="Times New Roman"/>
          <w:iCs/>
          <w:sz w:val="20"/>
          <w:szCs w:val="20"/>
        </w:rPr>
        <w:t>:</w:t>
      </w:r>
    </w:p>
    <w:p w14:paraId="6C3ED4FB" w14:textId="77777777" w:rsidR="00643195" w:rsidRPr="00316331" w:rsidRDefault="00643195" w:rsidP="00643195">
      <w:pPr>
        <w:spacing w:after="0" w:line="240" w:lineRule="auto"/>
        <w:jc w:val="both"/>
        <w:rPr>
          <w:rFonts w:ascii="Times New Roman" w:eastAsia="Calibri" w:hAnsi="Times New Roman" w:cs="Times New Roman"/>
          <w:iCs/>
          <w:sz w:val="20"/>
          <w:szCs w:val="20"/>
        </w:rPr>
      </w:pPr>
    </w:p>
    <w:p w14:paraId="1DBB3EB2" w14:textId="09B425F7" w:rsidR="00367FCC" w:rsidRDefault="00367FCC" w:rsidP="007F1E72">
      <w:pPr>
        <w:spacing w:after="0" w:line="240" w:lineRule="auto"/>
        <w:jc w:val="both"/>
        <w:rPr>
          <w:rFonts w:ascii="Times New Roman" w:eastAsia="Calibri" w:hAnsi="Times New Roman" w:cs="Times New Roman"/>
          <w:iCs/>
          <w:sz w:val="20"/>
          <w:szCs w:val="20"/>
        </w:rPr>
      </w:pPr>
    </w:p>
    <w:p w14:paraId="1C762FF0" w14:textId="77777777" w:rsidR="00702E5F" w:rsidRDefault="00702E5F" w:rsidP="007F1E72">
      <w:pPr>
        <w:spacing w:after="0" w:line="240" w:lineRule="auto"/>
        <w:jc w:val="both"/>
        <w:rPr>
          <w:rFonts w:ascii="Times New Roman" w:eastAsia="Calibri" w:hAnsi="Times New Roman" w:cs="Times New Roman"/>
          <w:iCs/>
          <w:sz w:val="20"/>
          <w:szCs w:val="20"/>
        </w:rPr>
      </w:pPr>
    </w:p>
    <w:p w14:paraId="15B47975" w14:textId="0ADD49BC" w:rsidR="00367FCC" w:rsidRPr="0089336D" w:rsidRDefault="00367FCC" w:rsidP="007F1E72">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This </w:t>
      </w:r>
      <w:r w:rsidR="00702E5F">
        <w:rPr>
          <w:rFonts w:ascii="Times New Roman" w:eastAsia="Calibri" w:hAnsi="Times New Roman" w:cs="Times New Roman"/>
          <w:iCs/>
          <w:sz w:val="20"/>
          <w:szCs w:val="20"/>
        </w:rPr>
        <w:t>10-year mirror-im</w:t>
      </w:r>
      <w:r w:rsidR="00140534" w:rsidRPr="00367FCC">
        <w:rPr>
          <w:rFonts w:ascii="Times New Roman" w:eastAsia="Calibri" w:hAnsi="Times New Roman" w:cs="Times New Roman"/>
          <w:iCs/>
          <w:sz w:val="20"/>
          <w:szCs w:val="20"/>
        </w:rPr>
        <w:t xml:space="preserve">age observational </w:t>
      </w:r>
      <w:r>
        <w:rPr>
          <w:rFonts w:ascii="Times New Roman" w:eastAsia="Calibri" w:hAnsi="Times New Roman" w:cs="Times New Roman"/>
          <w:iCs/>
          <w:sz w:val="20"/>
          <w:szCs w:val="20"/>
        </w:rPr>
        <w:t xml:space="preserve">study </w:t>
      </w:r>
      <w:r w:rsidR="00140534" w:rsidRPr="00367FCC">
        <w:rPr>
          <w:rFonts w:ascii="Times New Roman" w:eastAsia="Calibri" w:hAnsi="Times New Roman" w:cs="Times New Roman"/>
          <w:iCs/>
          <w:sz w:val="20"/>
          <w:szCs w:val="20"/>
        </w:rPr>
        <w:t>reassures the long-term acceptability and effectiveness of Paliperidone Palmitate once-monthly</w:t>
      </w:r>
      <w:r w:rsidR="00302606">
        <w:rPr>
          <w:rFonts w:ascii="Times New Roman" w:eastAsia="Calibri" w:hAnsi="Times New Roman" w:cs="Times New Roman"/>
          <w:iCs/>
          <w:sz w:val="20"/>
          <w:szCs w:val="20"/>
        </w:rPr>
        <w:t xml:space="preserve"> (PP1M)</w:t>
      </w:r>
      <w:r w:rsidR="00140534" w:rsidRPr="00367FCC">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 xml:space="preserve">with almost half of the </w:t>
      </w:r>
      <w:r w:rsidR="00302606">
        <w:rPr>
          <w:rFonts w:ascii="Times New Roman" w:eastAsia="Calibri" w:hAnsi="Times New Roman" w:cs="Times New Roman"/>
          <w:iCs/>
          <w:sz w:val="20"/>
          <w:szCs w:val="20"/>
        </w:rPr>
        <w:t>patient population</w:t>
      </w:r>
      <w:r w:rsidR="00702E5F">
        <w:rPr>
          <w:rFonts w:ascii="Times New Roman" w:eastAsia="Calibri" w:hAnsi="Times New Roman" w:cs="Times New Roman"/>
          <w:iCs/>
          <w:sz w:val="20"/>
          <w:szCs w:val="20"/>
        </w:rPr>
        <w:t xml:space="preserve"> continuing treatment at five years. </w:t>
      </w:r>
    </w:p>
    <w:p w14:paraId="37B64EDE" w14:textId="77777777" w:rsidR="001E0B19" w:rsidRPr="0089336D" w:rsidRDefault="001E0B19" w:rsidP="007F1E72">
      <w:pPr>
        <w:spacing w:after="0" w:line="240" w:lineRule="auto"/>
        <w:jc w:val="both"/>
        <w:rPr>
          <w:rFonts w:ascii="Times New Roman" w:eastAsia="Calibri" w:hAnsi="Times New Roman" w:cs="Times New Roman"/>
          <w:iCs/>
          <w:sz w:val="20"/>
          <w:szCs w:val="20"/>
        </w:rPr>
      </w:pPr>
    </w:p>
    <w:p w14:paraId="0F4820DB" w14:textId="6285D894" w:rsidR="00D9171F" w:rsidRPr="0089336D" w:rsidRDefault="00302606" w:rsidP="00D9171F">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P</w:t>
      </w:r>
      <w:r w:rsidR="00367FCC">
        <w:rPr>
          <w:rFonts w:ascii="Times New Roman" w:eastAsia="Calibri" w:hAnsi="Times New Roman" w:cs="Times New Roman"/>
          <w:iCs/>
          <w:sz w:val="20"/>
          <w:szCs w:val="20"/>
        </w:rPr>
        <w:t xml:space="preserve">ersistence with </w:t>
      </w:r>
      <w:r w:rsidR="00D9171F" w:rsidRPr="0089336D">
        <w:rPr>
          <w:rFonts w:ascii="Times New Roman" w:eastAsia="Calibri" w:hAnsi="Times New Roman" w:cs="Times New Roman"/>
          <w:iCs/>
          <w:sz w:val="20"/>
          <w:szCs w:val="20"/>
        </w:rPr>
        <w:t xml:space="preserve">PP1M was associated with a significant reduction in both number and length of hospital admissions </w:t>
      </w:r>
      <w:r>
        <w:rPr>
          <w:rFonts w:ascii="Times New Roman" w:eastAsia="Calibri" w:hAnsi="Times New Roman" w:cs="Times New Roman"/>
          <w:iCs/>
          <w:sz w:val="20"/>
          <w:szCs w:val="20"/>
        </w:rPr>
        <w:t xml:space="preserve">in the </w:t>
      </w:r>
      <w:r w:rsidR="00D9171F" w:rsidRPr="0089336D">
        <w:rPr>
          <w:rFonts w:ascii="Times New Roman" w:eastAsia="Calibri" w:hAnsi="Times New Roman" w:cs="Times New Roman"/>
          <w:iCs/>
          <w:sz w:val="20"/>
          <w:szCs w:val="20"/>
        </w:rPr>
        <w:t xml:space="preserve">five years </w:t>
      </w:r>
      <w:r>
        <w:rPr>
          <w:rFonts w:ascii="Times New Roman" w:eastAsia="Calibri" w:hAnsi="Times New Roman" w:cs="Times New Roman"/>
          <w:iCs/>
          <w:sz w:val="20"/>
          <w:szCs w:val="20"/>
        </w:rPr>
        <w:t>after compared to the five years before PP1M initiation</w:t>
      </w:r>
      <w:r w:rsidR="00D9171F" w:rsidRPr="0089336D">
        <w:rPr>
          <w:rFonts w:ascii="Times New Roman" w:eastAsia="Calibri" w:hAnsi="Times New Roman" w:cs="Times New Roman"/>
          <w:iCs/>
          <w:sz w:val="20"/>
          <w:szCs w:val="20"/>
        </w:rPr>
        <w:t xml:space="preserve">. </w:t>
      </w:r>
    </w:p>
    <w:p w14:paraId="61D1C9DA" w14:textId="4839A263" w:rsidR="001E0B19" w:rsidRPr="0089336D" w:rsidRDefault="001E0B19" w:rsidP="007F1E72">
      <w:pPr>
        <w:spacing w:after="0" w:line="240" w:lineRule="auto"/>
        <w:jc w:val="both"/>
        <w:rPr>
          <w:rFonts w:ascii="Times New Roman" w:eastAsia="Calibri" w:hAnsi="Times New Roman" w:cs="Times New Roman"/>
          <w:iCs/>
          <w:sz w:val="20"/>
          <w:szCs w:val="20"/>
        </w:rPr>
      </w:pPr>
    </w:p>
    <w:p w14:paraId="661782E9" w14:textId="7772FBF1" w:rsidR="001E0B19" w:rsidRPr="0089336D" w:rsidRDefault="001E0B19" w:rsidP="007F1E72">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Conversely, patients who discontinued treatment demonstrated considerably worse hospitalisation rates</w:t>
      </w:r>
      <w:r w:rsidR="00087340" w:rsidRPr="0089336D">
        <w:rPr>
          <w:rFonts w:ascii="Times New Roman" w:eastAsia="Calibri" w:hAnsi="Times New Roman" w:cs="Times New Roman"/>
          <w:iCs/>
          <w:sz w:val="20"/>
          <w:szCs w:val="20"/>
        </w:rPr>
        <w:t xml:space="preserve"> indicating </w:t>
      </w:r>
      <w:r w:rsidR="00367FCC">
        <w:rPr>
          <w:rFonts w:ascii="Times New Roman" w:eastAsia="Calibri" w:hAnsi="Times New Roman" w:cs="Times New Roman"/>
          <w:iCs/>
          <w:sz w:val="20"/>
          <w:szCs w:val="20"/>
        </w:rPr>
        <w:t xml:space="preserve">that </w:t>
      </w:r>
      <w:r w:rsidR="00087340" w:rsidRPr="0089336D">
        <w:rPr>
          <w:rFonts w:ascii="Times New Roman" w:eastAsia="Calibri" w:hAnsi="Times New Roman" w:cs="Times New Roman"/>
          <w:iCs/>
          <w:sz w:val="20"/>
          <w:szCs w:val="20"/>
        </w:rPr>
        <w:t xml:space="preserve">treatment adherence </w:t>
      </w:r>
      <w:r w:rsidR="00367FCC">
        <w:rPr>
          <w:rFonts w:ascii="Times New Roman" w:eastAsia="Calibri" w:hAnsi="Times New Roman" w:cs="Times New Roman"/>
          <w:iCs/>
          <w:sz w:val="20"/>
          <w:szCs w:val="20"/>
        </w:rPr>
        <w:t xml:space="preserve">effectively </w:t>
      </w:r>
      <w:r w:rsidR="00087340" w:rsidRPr="0089336D">
        <w:rPr>
          <w:rFonts w:ascii="Times New Roman" w:eastAsia="Calibri" w:hAnsi="Times New Roman" w:cs="Times New Roman"/>
          <w:iCs/>
          <w:sz w:val="20"/>
          <w:szCs w:val="20"/>
        </w:rPr>
        <w:t>improves disease burden.</w:t>
      </w:r>
    </w:p>
    <w:p w14:paraId="2F48F29E" w14:textId="1C906F24" w:rsidR="00643195" w:rsidRPr="0089336D" w:rsidRDefault="00643195" w:rsidP="007F1E72">
      <w:pPr>
        <w:spacing w:after="0" w:line="240" w:lineRule="auto"/>
        <w:jc w:val="both"/>
        <w:rPr>
          <w:rFonts w:ascii="Times New Roman" w:eastAsia="Calibri" w:hAnsi="Times New Roman" w:cs="Times New Roman"/>
          <w:iCs/>
          <w:sz w:val="20"/>
          <w:szCs w:val="20"/>
        </w:rPr>
      </w:pPr>
    </w:p>
    <w:p w14:paraId="6C048673" w14:textId="04A6E9D5" w:rsidR="00643195" w:rsidRPr="0089336D" w:rsidRDefault="00643195" w:rsidP="007F1E72">
      <w:pPr>
        <w:spacing w:after="0" w:line="240" w:lineRule="auto"/>
        <w:jc w:val="both"/>
        <w:rPr>
          <w:rFonts w:ascii="Times New Roman" w:eastAsia="Calibri" w:hAnsi="Times New Roman" w:cs="Times New Roman"/>
          <w:iCs/>
          <w:sz w:val="20"/>
          <w:szCs w:val="20"/>
        </w:rPr>
      </w:pPr>
    </w:p>
    <w:p w14:paraId="47B5C2B9" w14:textId="77777777" w:rsidR="002E5DA8" w:rsidRPr="001330D4" w:rsidRDefault="002E5DA8" w:rsidP="002E5DA8">
      <w:pPr>
        <w:spacing w:after="0" w:line="240" w:lineRule="auto"/>
        <w:jc w:val="both"/>
        <w:rPr>
          <w:rFonts w:ascii="Times New Roman" w:eastAsia="Calibri" w:hAnsi="Times New Roman" w:cs="Times New Roman"/>
          <w:iCs/>
          <w:sz w:val="20"/>
          <w:szCs w:val="20"/>
        </w:rPr>
      </w:pPr>
    </w:p>
    <w:p w14:paraId="59CAAEFD" w14:textId="4FA7F314" w:rsidR="00643195" w:rsidRPr="0089336D" w:rsidRDefault="00643195" w:rsidP="007F1E72">
      <w:pPr>
        <w:spacing w:after="0" w:line="240" w:lineRule="auto"/>
        <w:jc w:val="both"/>
        <w:rPr>
          <w:rFonts w:ascii="Times New Roman" w:eastAsia="Calibri" w:hAnsi="Times New Roman" w:cs="Times New Roman"/>
          <w:iCs/>
          <w:sz w:val="20"/>
          <w:szCs w:val="20"/>
        </w:rPr>
      </w:pPr>
    </w:p>
    <w:p w14:paraId="792537EE" w14:textId="028398A4" w:rsidR="00643195" w:rsidRPr="0089336D" w:rsidRDefault="00643195" w:rsidP="007F1E72">
      <w:pPr>
        <w:spacing w:after="0" w:line="240" w:lineRule="auto"/>
        <w:jc w:val="both"/>
        <w:rPr>
          <w:rFonts w:ascii="Times New Roman" w:eastAsia="Calibri" w:hAnsi="Times New Roman" w:cs="Times New Roman"/>
          <w:b/>
          <w:bCs/>
          <w:iCs/>
          <w:sz w:val="20"/>
          <w:szCs w:val="20"/>
        </w:rPr>
      </w:pPr>
    </w:p>
    <w:p w14:paraId="79FF5709" w14:textId="3FDA3404" w:rsidR="00734987" w:rsidRDefault="00734987" w:rsidP="007F1E72">
      <w:pPr>
        <w:spacing w:after="0" w:line="240" w:lineRule="auto"/>
        <w:jc w:val="both"/>
        <w:rPr>
          <w:rFonts w:ascii="Times New Roman" w:eastAsia="Calibri" w:hAnsi="Times New Roman" w:cs="Times New Roman"/>
          <w:b/>
          <w:bCs/>
          <w:iCs/>
          <w:sz w:val="20"/>
          <w:szCs w:val="20"/>
        </w:rPr>
      </w:pPr>
    </w:p>
    <w:p w14:paraId="310A5CFD" w14:textId="2FE9DD26" w:rsidR="001330D4" w:rsidRDefault="001330D4" w:rsidP="007F1E72">
      <w:pPr>
        <w:spacing w:after="0" w:line="240" w:lineRule="auto"/>
        <w:jc w:val="both"/>
        <w:rPr>
          <w:rFonts w:ascii="Times New Roman" w:eastAsia="Calibri" w:hAnsi="Times New Roman" w:cs="Times New Roman"/>
          <w:b/>
          <w:bCs/>
          <w:iCs/>
          <w:sz w:val="20"/>
          <w:szCs w:val="20"/>
        </w:rPr>
      </w:pPr>
    </w:p>
    <w:p w14:paraId="39D5B613" w14:textId="77777777" w:rsidR="001330D4" w:rsidRDefault="001330D4" w:rsidP="007F1E72">
      <w:pPr>
        <w:spacing w:after="0" w:line="240" w:lineRule="auto"/>
        <w:jc w:val="both"/>
        <w:rPr>
          <w:rFonts w:ascii="Times New Roman" w:eastAsia="Calibri" w:hAnsi="Times New Roman" w:cs="Times New Roman"/>
          <w:b/>
          <w:bCs/>
          <w:iCs/>
          <w:sz w:val="20"/>
          <w:szCs w:val="20"/>
        </w:rPr>
      </w:pPr>
    </w:p>
    <w:p w14:paraId="422F7E02" w14:textId="3301D8EF" w:rsidR="00F2629E" w:rsidRDefault="00F2629E" w:rsidP="007F1E72">
      <w:pPr>
        <w:spacing w:after="0" w:line="240" w:lineRule="auto"/>
        <w:jc w:val="both"/>
        <w:rPr>
          <w:rFonts w:ascii="Times New Roman" w:eastAsia="Calibri" w:hAnsi="Times New Roman" w:cs="Times New Roman"/>
          <w:b/>
          <w:bCs/>
          <w:iCs/>
          <w:sz w:val="20"/>
          <w:szCs w:val="20"/>
        </w:rPr>
      </w:pPr>
    </w:p>
    <w:p w14:paraId="68EC2A3B" w14:textId="7E208981" w:rsidR="00F2629E" w:rsidRDefault="00F2629E" w:rsidP="007F1E72">
      <w:pPr>
        <w:spacing w:after="0" w:line="240" w:lineRule="auto"/>
        <w:jc w:val="both"/>
        <w:rPr>
          <w:rFonts w:ascii="Times New Roman" w:eastAsia="Calibri" w:hAnsi="Times New Roman" w:cs="Times New Roman"/>
          <w:b/>
          <w:bCs/>
          <w:iCs/>
          <w:sz w:val="20"/>
          <w:szCs w:val="20"/>
        </w:rPr>
      </w:pPr>
    </w:p>
    <w:p w14:paraId="41480875" w14:textId="77777777" w:rsidR="0089336D" w:rsidRDefault="0089336D" w:rsidP="007F1E72">
      <w:pPr>
        <w:spacing w:after="0" w:line="240" w:lineRule="auto"/>
        <w:jc w:val="both"/>
        <w:rPr>
          <w:rFonts w:ascii="Times New Roman" w:eastAsia="Calibri" w:hAnsi="Times New Roman" w:cs="Times New Roman"/>
          <w:b/>
          <w:bCs/>
          <w:iCs/>
          <w:sz w:val="20"/>
          <w:szCs w:val="20"/>
        </w:rPr>
      </w:pPr>
    </w:p>
    <w:p w14:paraId="3D710D4F" w14:textId="77777777" w:rsidR="00F2629E" w:rsidRPr="0089336D" w:rsidRDefault="00F2629E" w:rsidP="007F1E72">
      <w:pPr>
        <w:spacing w:after="0" w:line="240" w:lineRule="auto"/>
        <w:jc w:val="both"/>
        <w:rPr>
          <w:rFonts w:ascii="Times New Roman" w:eastAsia="Calibri" w:hAnsi="Times New Roman" w:cs="Times New Roman"/>
          <w:b/>
          <w:bCs/>
          <w:iCs/>
          <w:sz w:val="20"/>
          <w:szCs w:val="20"/>
        </w:rPr>
      </w:pPr>
    </w:p>
    <w:p w14:paraId="06015F09" w14:textId="77777777" w:rsidR="00734987" w:rsidRPr="0089336D" w:rsidRDefault="00734987" w:rsidP="007F1E72">
      <w:pPr>
        <w:spacing w:after="0" w:line="240" w:lineRule="auto"/>
        <w:jc w:val="both"/>
        <w:rPr>
          <w:rFonts w:ascii="Times New Roman" w:eastAsia="Calibri" w:hAnsi="Times New Roman" w:cs="Times New Roman"/>
          <w:b/>
          <w:bCs/>
          <w:iCs/>
          <w:sz w:val="20"/>
          <w:szCs w:val="20"/>
        </w:rPr>
      </w:pPr>
    </w:p>
    <w:p w14:paraId="7BB59B04" w14:textId="1E371EA5" w:rsidR="00E45BE3" w:rsidRPr="00AA5B69" w:rsidRDefault="00DA1947" w:rsidP="00734987">
      <w:pPr>
        <w:pStyle w:val="Heading1"/>
        <w:rPr>
          <w:rFonts w:ascii="Times New Roman" w:hAnsi="Times New Roman" w:cs="Times New Roman"/>
          <w:sz w:val="24"/>
          <w:szCs w:val="24"/>
        </w:rPr>
      </w:pPr>
      <w:r w:rsidRPr="00AA5B69">
        <w:rPr>
          <w:rFonts w:ascii="Times New Roman" w:hAnsi="Times New Roman" w:cs="Times New Roman"/>
          <w:sz w:val="24"/>
          <w:szCs w:val="24"/>
        </w:rPr>
        <w:lastRenderedPageBreak/>
        <w:t>1.0 Introduction</w:t>
      </w:r>
    </w:p>
    <w:p w14:paraId="0108E750" w14:textId="77777777" w:rsidR="00E45BE3" w:rsidRPr="0089336D" w:rsidRDefault="00E45BE3" w:rsidP="007F1E72">
      <w:pPr>
        <w:spacing w:after="0" w:line="240" w:lineRule="auto"/>
        <w:jc w:val="both"/>
        <w:rPr>
          <w:rFonts w:ascii="Times New Roman" w:eastAsia="Calibri" w:hAnsi="Times New Roman" w:cs="Times New Roman"/>
          <w:b/>
          <w:bCs/>
          <w:iCs/>
          <w:sz w:val="20"/>
          <w:szCs w:val="20"/>
        </w:rPr>
      </w:pPr>
    </w:p>
    <w:p w14:paraId="4D9E891B" w14:textId="2E338701" w:rsidR="00E45BE3" w:rsidRPr="0089336D" w:rsidRDefault="00E45BE3" w:rsidP="007F1E72">
      <w:pPr>
        <w:spacing w:after="0" w:line="240" w:lineRule="auto"/>
        <w:jc w:val="both"/>
        <w:rPr>
          <w:rFonts w:ascii="Times New Roman" w:eastAsia="Times New Roman" w:hAnsi="Times New Roman" w:cs="Times New Roman"/>
          <w:iCs/>
          <w:color w:val="000000"/>
          <w:sz w:val="20"/>
          <w:szCs w:val="20"/>
          <w:lang w:eastAsia="en-GB"/>
        </w:rPr>
      </w:pPr>
      <w:r w:rsidRPr="0089336D">
        <w:rPr>
          <w:rFonts w:ascii="Times New Roman" w:eastAsia="Calibri" w:hAnsi="Times New Roman" w:cs="Times New Roman"/>
          <w:iCs/>
          <w:sz w:val="20"/>
          <w:szCs w:val="20"/>
        </w:rPr>
        <w:t xml:space="preserve">Schizophrenia is a chronic and severe mental disorder affecting </w:t>
      </w:r>
      <w:r w:rsidR="00F366AF" w:rsidRPr="0089336D">
        <w:rPr>
          <w:rFonts w:ascii="Times New Roman" w:eastAsia="Calibri" w:hAnsi="Times New Roman" w:cs="Times New Roman"/>
          <w:iCs/>
          <w:sz w:val="20"/>
          <w:szCs w:val="20"/>
        </w:rPr>
        <w:t xml:space="preserve">1% of the population </w:t>
      </w:r>
      <w:r w:rsidR="00596A9C" w:rsidRPr="0089336D">
        <w:rPr>
          <w:rFonts w:ascii="Times New Roman" w:eastAsia="Calibri" w:hAnsi="Times New Roman" w:cs="Times New Roman"/>
          <w:iCs/>
          <w:sz w:val="20"/>
          <w:szCs w:val="20"/>
        </w:rPr>
        <w:t>[1]</w:t>
      </w:r>
      <w:r w:rsidRPr="0089336D">
        <w:rPr>
          <w:rFonts w:ascii="Times New Roman" w:eastAsia="Calibri" w:hAnsi="Times New Roman" w:cs="Times New Roman"/>
          <w:iCs/>
          <w:sz w:val="20"/>
          <w:szCs w:val="20"/>
        </w:rPr>
        <w:t>. It typically develops in early life</w:t>
      </w:r>
      <w:r w:rsidR="0030536C" w:rsidRPr="0089336D">
        <w:rPr>
          <w:rFonts w:ascii="Times New Roman" w:eastAsia="Calibri" w:hAnsi="Times New Roman" w:cs="Times New Roman"/>
          <w:iCs/>
          <w:sz w:val="20"/>
          <w:szCs w:val="20"/>
        </w:rPr>
        <w:t xml:space="preserve"> [2]</w:t>
      </w:r>
      <w:r w:rsidRPr="0089336D">
        <w:rPr>
          <w:rFonts w:ascii="Times New Roman" w:eastAsia="Calibri" w:hAnsi="Times New Roman" w:cs="Times New Roman"/>
          <w:iCs/>
          <w:sz w:val="20"/>
          <w:szCs w:val="20"/>
        </w:rPr>
        <w:t xml:space="preserve"> and is associated with substantially increased healthcare and wider societal costs</w:t>
      </w:r>
      <w:r w:rsidR="0098053B" w:rsidRPr="0089336D">
        <w:rPr>
          <w:rFonts w:ascii="Times New Roman" w:eastAsia="Calibri" w:hAnsi="Times New Roman" w:cs="Times New Roman"/>
          <w:iCs/>
          <w:sz w:val="20"/>
          <w:szCs w:val="20"/>
        </w:rPr>
        <w:t xml:space="preserve"> [3,4]</w:t>
      </w:r>
      <w:r w:rsidRPr="0089336D">
        <w:rPr>
          <w:rFonts w:ascii="Times New Roman" w:eastAsia="Calibri" w:hAnsi="Times New Roman" w:cs="Times New Roman"/>
          <w:iCs/>
          <w:sz w:val="20"/>
          <w:szCs w:val="20"/>
        </w:rPr>
        <w:t xml:space="preserve"> </w:t>
      </w:r>
      <w:r w:rsidR="00F161C2" w:rsidRPr="0089336D">
        <w:rPr>
          <w:rFonts w:ascii="Times New Roman" w:eastAsia="Calibri" w:hAnsi="Times New Roman" w:cs="Times New Roman"/>
          <w:iCs/>
          <w:sz w:val="20"/>
          <w:szCs w:val="20"/>
        </w:rPr>
        <w:t>and if left untreated relapse is often</w:t>
      </w:r>
      <w:r w:rsidRPr="0089336D">
        <w:rPr>
          <w:rFonts w:ascii="Times New Roman" w:eastAsia="Calibri" w:hAnsi="Times New Roman" w:cs="Times New Roman"/>
          <w:iCs/>
          <w:sz w:val="20"/>
          <w:szCs w:val="20"/>
        </w:rPr>
        <w:t xml:space="preserve"> inevitable</w:t>
      </w:r>
      <w:r w:rsidR="0098053B" w:rsidRPr="0089336D">
        <w:rPr>
          <w:rFonts w:ascii="Times New Roman" w:eastAsia="Calibri" w:hAnsi="Times New Roman" w:cs="Times New Roman"/>
          <w:iCs/>
          <w:sz w:val="20"/>
          <w:szCs w:val="20"/>
        </w:rPr>
        <w:t xml:space="preserve"> [5]</w:t>
      </w:r>
      <w:r w:rsidR="00807D13" w:rsidRPr="0089336D">
        <w:rPr>
          <w:rFonts w:ascii="Times New Roman" w:eastAsia="Calibri" w:hAnsi="Times New Roman" w:cs="Times New Roman"/>
          <w:iCs/>
          <w:sz w:val="20"/>
          <w:szCs w:val="20"/>
        </w:rPr>
        <w:t>.</w:t>
      </w:r>
    </w:p>
    <w:p w14:paraId="55FEAE9E" w14:textId="77777777" w:rsidR="00E45BE3" w:rsidRPr="0089336D" w:rsidRDefault="00E45BE3" w:rsidP="007F1E72">
      <w:pPr>
        <w:spacing w:after="0" w:line="240" w:lineRule="auto"/>
        <w:jc w:val="both"/>
        <w:rPr>
          <w:rFonts w:ascii="Times New Roman" w:eastAsia="Times New Roman" w:hAnsi="Times New Roman" w:cs="Times New Roman"/>
          <w:iCs/>
          <w:color w:val="000000"/>
          <w:sz w:val="20"/>
          <w:szCs w:val="20"/>
          <w:lang w:eastAsia="en-GB"/>
        </w:rPr>
      </w:pPr>
    </w:p>
    <w:p w14:paraId="1EF7C8A0" w14:textId="6245D3D8" w:rsidR="00660ADC" w:rsidRPr="0089336D" w:rsidRDefault="00E45BE3" w:rsidP="007F1E72">
      <w:pPr>
        <w:spacing w:after="0" w:line="240" w:lineRule="auto"/>
        <w:jc w:val="both"/>
        <w:rPr>
          <w:rFonts w:ascii="Times New Roman" w:eastAsia="Times New Roman" w:hAnsi="Times New Roman" w:cs="Times New Roman"/>
          <w:iCs/>
          <w:color w:val="000000"/>
          <w:sz w:val="20"/>
          <w:szCs w:val="20"/>
          <w:lang w:eastAsia="en-GB"/>
        </w:rPr>
      </w:pPr>
      <w:r w:rsidRPr="0089336D">
        <w:rPr>
          <w:rFonts w:ascii="Times New Roman" w:eastAsia="Times New Roman" w:hAnsi="Times New Roman" w:cs="Times New Roman"/>
          <w:iCs/>
          <w:color w:val="000000"/>
          <w:sz w:val="20"/>
          <w:szCs w:val="20"/>
          <w:lang w:eastAsia="en-GB"/>
        </w:rPr>
        <w:t xml:space="preserve">Antipsychotics are the mainstay in the pharmacologic treatment of schizophrenia </w:t>
      </w:r>
      <w:r w:rsidR="00F366AF" w:rsidRPr="0089336D">
        <w:rPr>
          <w:rFonts w:ascii="Times New Roman" w:eastAsia="Times New Roman" w:hAnsi="Times New Roman" w:cs="Times New Roman"/>
          <w:iCs/>
          <w:color w:val="000000"/>
          <w:sz w:val="20"/>
          <w:szCs w:val="20"/>
          <w:lang w:eastAsia="en-GB"/>
        </w:rPr>
        <w:t>and psychotic disorders</w:t>
      </w:r>
      <w:r w:rsidR="00807D13" w:rsidRPr="0089336D">
        <w:rPr>
          <w:rFonts w:ascii="Times New Roman" w:eastAsia="Times New Roman" w:hAnsi="Times New Roman" w:cs="Times New Roman"/>
          <w:iCs/>
          <w:color w:val="000000"/>
          <w:sz w:val="20"/>
          <w:szCs w:val="20"/>
          <w:lang w:eastAsia="en-GB"/>
        </w:rPr>
        <w:t xml:space="preserve"> [6]</w:t>
      </w:r>
      <w:r w:rsidR="00F366AF" w:rsidRPr="0089336D">
        <w:rPr>
          <w:rFonts w:ascii="Times New Roman" w:eastAsia="Times New Roman" w:hAnsi="Times New Roman" w:cs="Times New Roman"/>
          <w:iCs/>
          <w:color w:val="000000"/>
          <w:sz w:val="20"/>
          <w:szCs w:val="20"/>
          <w:lang w:eastAsia="en-GB"/>
        </w:rPr>
        <w:t xml:space="preserve"> </w:t>
      </w:r>
      <w:r w:rsidR="00F161C2" w:rsidRPr="0089336D">
        <w:rPr>
          <w:rFonts w:ascii="Times New Roman" w:eastAsia="Times New Roman" w:hAnsi="Times New Roman" w:cs="Times New Roman"/>
          <w:iCs/>
          <w:color w:val="000000"/>
          <w:sz w:val="20"/>
          <w:szCs w:val="20"/>
          <w:lang w:eastAsia="en-GB"/>
        </w:rPr>
        <w:t>providing</w:t>
      </w:r>
      <w:r w:rsidRPr="0089336D">
        <w:rPr>
          <w:rFonts w:ascii="Times New Roman" w:eastAsia="Times New Roman" w:hAnsi="Times New Roman" w:cs="Times New Roman"/>
          <w:iCs/>
          <w:color w:val="000000"/>
          <w:sz w:val="20"/>
          <w:szCs w:val="20"/>
          <w:lang w:eastAsia="en-GB"/>
        </w:rPr>
        <w:t xml:space="preserve"> symptomatic relief and </w:t>
      </w:r>
      <w:r w:rsidR="00F161C2" w:rsidRPr="0089336D">
        <w:rPr>
          <w:rFonts w:ascii="Times New Roman" w:eastAsia="Times New Roman" w:hAnsi="Times New Roman" w:cs="Times New Roman"/>
          <w:iCs/>
          <w:color w:val="000000"/>
          <w:sz w:val="20"/>
          <w:szCs w:val="20"/>
          <w:lang w:eastAsia="en-GB"/>
        </w:rPr>
        <w:t xml:space="preserve">relapse </w:t>
      </w:r>
      <w:r w:rsidRPr="0089336D">
        <w:rPr>
          <w:rFonts w:ascii="Times New Roman" w:eastAsia="Times New Roman" w:hAnsi="Times New Roman" w:cs="Times New Roman"/>
          <w:iCs/>
          <w:color w:val="000000"/>
          <w:sz w:val="20"/>
          <w:szCs w:val="20"/>
          <w:lang w:eastAsia="en-GB"/>
        </w:rPr>
        <w:t>prevent</w:t>
      </w:r>
      <w:r w:rsidR="00F161C2" w:rsidRPr="0089336D">
        <w:rPr>
          <w:rFonts w:ascii="Times New Roman" w:eastAsia="Times New Roman" w:hAnsi="Times New Roman" w:cs="Times New Roman"/>
          <w:iCs/>
          <w:color w:val="000000"/>
          <w:sz w:val="20"/>
          <w:szCs w:val="20"/>
          <w:lang w:eastAsia="en-GB"/>
        </w:rPr>
        <w:t>ion</w:t>
      </w:r>
      <w:r w:rsidR="005A1904" w:rsidRPr="0089336D">
        <w:rPr>
          <w:rFonts w:ascii="Times New Roman" w:eastAsia="Times New Roman" w:hAnsi="Times New Roman" w:cs="Times New Roman"/>
          <w:iCs/>
          <w:color w:val="000000"/>
          <w:sz w:val="20"/>
          <w:szCs w:val="20"/>
          <w:lang w:eastAsia="en-GB"/>
        </w:rPr>
        <w:t xml:space="preserve"> [7]</w:t>
      </w:r>
      <w:r w:rsidR="00F161C2" w:rsidRPr="0089336D">
        <w:rPr>
          <w:rFonts w:ascii="Times New Roman" w:eastAsia="Times New Roman" w:hAnsi="Times New Roman" w:cs="Times New Roman"/>
          <w:iCs/>
          <w:color w:val="000000"/>
          <w:sz w:val="20"/>
          <w:szCs w:val="20"/>
          <w:lang w:eastAsia="en-GB"/>
        </w:rPr>
        <w:t>. However, n</w:t>
      </w:r>
      <w:r w:rsidRPr="0089336D">
        <w:rPr>
          <w:rFonts w:ascii="Times New Roman" w:eastAsia="Times New Roman" w:hAnsi="Times New Roman" w:cs="Times New Roman"/>
          <w:iCs/>
          <w:color w:val="000000"/>
          <w:sz w:val="20"/>
          <w:szCs w:val="20"/>
          <w:lang w:eastAsia="en-GB"/>
        </w:rPr>
        <w:t xml:space="preserve">on-adherence with treatment is </w:t>
      </w:r>
      <w:r w:rsidR="00F161C2" w:rsidRPr="0089336D">
        <w:rPr>
          <w:rFonts w:ascii="Times New Roman" w:eastAsia="Times New Roman" w:hAnsi="Times New Roman" w:cs="Times New Roman"/>
          <w:iCs/>
          <w:color w:val="000000"/>
          <w:sz w:val="20"/>
          <w:szCs w:val="20"/>
          <w:lang w:eastAsia="en-GB"/>
        </w:rPr>
        <w:t xml:space="preserve">common and </w:t>
      </w:r>
      <w:r w:rsidRPr="0089336D">
        <w:rPr>
          <w:rFonts w:ascii="Times New Roman" w:eastAsia="Times New Roman" w:hAnsi="Times New Roman" w:cs="Times New Roman"/>
          <w:iCs/>
          <w:color w:val="000000"/>
          <w:sz w:val="20"/>
          <w:szCs w:val="20"/>
          <w:lang w:eastAsia="en-GB"/>
        </w:rPr>
        <w:t xml:space="preserve">strongly associated with an increased risk of relapse, hospitalization and </w:t>
      </w:r>
      <w:r w:rsidR="00734987" w:rsidRPr="0089336D">
        <w:rPr>
          <w:rFonts w:ascii="Times New Roman" w:eastAsia="Times New Roman" w:hAnsi="Times New Roman" w:cs="Times New Roman"/>
          <w:iCs/>
          <w:color w:val="000000"/>
          <w:sz w:val="20"/>
          <w:szCs w:val="20"/>
          <w:lang w:eastAsia="en-GB"/>
        </w:rPr>
        <w:t>suicide attempts</w:t>
      </w:r>
      <w:r w:rsidRPr="0089336D">
        <w:rPr>
          <w:rFonts w:ascii="Times New Roman" w:eastAsia="Times New Roman" w:hAnsi="Times New Roman" w:cs="Times New Roman"/>
          <w:iCs/>
          <w:color w:val="000000"/>
          <w:sz w:val="20"/>
          <w:szCs w:val="20"/>
          <w:lang w:eastAsia="en-GB"/>
        </w:rPr>
        <w:t xml:space="preserve"> </w:t>
      </w:r>
      <w:r w:rsidR="00507888" w:rsidRPr="0089336D">
        <w:rPr>
          <w:rFonts w:ascii="Times New Roman" w:eastAsia="Times New Roman" w:hAnsi="Times New Roman" w:cs="Times New Roman"/>
          <w:iCs/>
          <w:color w:val="000000"/>
          <w:sz w:val="20"/>
          <w:szCs w:val="20"/>
          <w:lang w:eastAsia="en-GB"/>
        </w:rPr>
        <w:t xml:space="preserve">[8,9]. </w:t>
      </w:r>
      <w:r w:rsidRPr="0089336D">
        <w:rPr>
          <w:rFonts w:ascii="Times New Roman" w:eastAsia="Times New Roman" w:hAnsi="Times New Roman" w:cs="Times New Roman"/>
          <w:iCs/>
          <w:color w:val="000000"/>
          <w:sz w:val="20"/>
          <w:szCs w:val="20"/>
          <w:lang w:eastAsia="en-GB"/>
        </w:rPr>
        <w:t>Long-acting injecta</w:t>
      </w:r>
      <w:r w:rsidR="00F161C2" w:rsidRPr="0089336D">
        <w:rPr>
          <w:rFonts w:ascii="Times New Roman" w:eastAsia="Times New Roman" w:hAnsi="Times New Roman" w:cs="Times New Roman"/>
          <w:iCs/>
          <w:color w:val="000000"/>
          <w:sz w:val="20"/>
          <w:szCs w:val="20"/>
          <w:lang w:eastAsia="en-GB"/>
        </w:rPr>
        <w:t xml:space="preserve">ble antipsychotics (LAIs) have long been a </w:t>
      </w:r>
      <w:r w:rsidRPr="0089336D">
        <w:rPr>
          <w:rFonts w:ascii="Times New Roman" w:eastAsia="Times New Roman" w:hAnsi="Times New Roman" w:cs="Times New Roman"/>
          <w:iCs/>
          <w:color w:val="000000"/>
          <w:sz w:val="20"/>
          <w:szCs w:val="20"/>
          <w:lang w:eastAsia="en-GB"/>
        </w:rPr>
        <w:t>viable alternative to oral medication</w:t>
      </w:r>
      <w:r w:rsidR="00507888" w:rsidRPr="0089336D">
        <w:rPr>
          <w:rFonts w:ascii="Times New Roman" w:eastAsia="Times New Roman" w:hAnsi="Times New Roman" w:cs="Times New Roman"/>
          <w:iCs/>
          <w:color w:val="000000"/>
          <w:sz w:val="20"/>
          <w:szCs w:val="20"/>
          <w:lang w:eastAsia="en-GB"/>
        </w:rPr>
        <w:t xml:space="preserve"> [10]</w:t>
      </w:r>
      <w:r w:rsidRPr="0089336D">
        <w:rPr>
          <w:rFonts w:ascii="Times New Roman" w:eastAsia="Times New Roman" w:hAnsi="Times New Roman" w:cs="Times New Roman"/>
          <w:iCs/>
          <w:color w:val="000000"/>
          <w:sz w:val="20"/>
          <w:szCs w:val="20"/>
          <w:lang w:eastAsia="en-GB"/>
        </w:rPr>
        <w:t xml:space="preserve"> and have been shown to improve adherence </w:t>
      </w:r>
      <w:r w:rsidR="00507888" w:rsidRPr="0089336D">
        <w:rPr>
          <w:rFonts w:ascii="Times New Roman" w:eastAsia="Times New Roman" w:hAnsi="Times New Roman" w:cs="Times New Roman"/>
          <w:iCs/>
          <w:color w:val="000000"/>
          <w:sz w:val="20"/>
          <w:szCs w:val="20"/>
          <w:lang w:eastAsia="en-GB"/>
        </w:rPr>
        <w:t xml:space="preserve">[11,12] </w:t>
      </w:r>
      <w:r w:rsidR="00AE1571" w:rsidRPr="0089336D">
        <w:rPr>
          <w:rFonts w:ascii="Times New Roman" w:eastAsia="Times New Roman" w:hAnsi="Times New Roman" w:cs="Times New Roman"/>
          <w:iCs/>
          <w:color w:val="000000"/>
          <w:sz w:val="20"/>
          <w:szCs w:val="20"/>
          <w:lang w:eastAsia="en-GB"/>
        </w:rPr>
        <w:t xml:space="preserve">and </w:t>
      </w:r>
      <w:r w:rsidRPr="0089336D">
        <w:rPr>
          <w:rFonts w:ascii="Times New Roman" w:eastAsia="Times New Roman" w:hAnsi="Times New Roman" w:cs="Times New Roman"/>
          <w:iCs/>
          <w:color w:val="000000"/>
          <w:sz w:val="20"/>
          <w:szCs w:val="20"/>
          <w:lang w:eastAsia="en-GB"/>
        </w:rPr>
        <w:t>reduce health costs</w:t>
      </w:r>
      <w:r w:rsidR="00507888" w:rsidRPr="0089336D">
        <w:rPr>
          <w:rFonts w:ascii="Times New Roman" w:eastAsia="Times New Roman" w:hAnsi="Times New Roman" w:cs="Times New Roman"/>
          <w:iCs/>
          <w:color w:val="000000"/>
          <w:sz w:val="20"/>
          <w:szCs w:val="20"/>
          <w:lang w:eastAsia="en-GB"/>
        </w:rPr>
        <w:t xml:space="preserve"> [13]</w:t>
      </w:r>
      <w:r w:rsidRPr="0089336D">
        <w:rPr>
          <w:rFonts w:ascii="Times New Roman" w:eastAsia="Times New Roman" w:hAnsi="Times New Roman" w:cs="Times New Roman"/>
          <w:iCs/>
          <w:color w:val="000000"/>
          <w:sz w:val="20"/>
          <w:szCs w:val="20"/>
          <w:lang w:eastAsia="en-GB"/>
        </w:rPr>
        <w:t xml:space="preserve"> </w:t>
      </w:r>
      <w:r w:rsidR="00F161C2" w:rsidRPr="0089336D">
        <w:rPr>
          <w:rFonts w:ascii="Times New Roman" w:eastAsia="Times New Roman" w:hAnsi="Times New Roman" w:cs="Times New Roman"/>
          <w:iCs/>
          <w:color w:val="000000"/>
          <w:sz w:val="20"/>
          <w:szCs w:val="20"/>
          <w:lang w:eastAsia="en-GB"/>
        </w:rPr>
        <w:t xml:space="preserve">as well as </w:t>
      </w:r>
      <w:r w:rsidRPr="0089336D">
        <w:rPr>
          <w:rFonts w:ascii="Times New Roman" w:eastAsia="Times New Roman" w:hAnsi="Times New Roman" w:cs="Times New Roman"/>
          <w:iCs/>
          <w:color w:val="000000"/>
          <w:sz w:val="20"/>
          <w:szCs w:val="20"/>
          <w:lang w:eastAsia="en-GB"/>
        </w:rPr>
        <w:t>relapse risk and mortality</w:t>
      </w:r>
      <w:r w:rsidR="00500960" w:rsidRPr="0089336D">
        <w:rPr>
          <w:rFonts w:ascii="Times New Roman" w:eastAsia="Times New Roman" w:hAnsi="Times New Roman" w:cs="Times New Roman"/>
          <w:iCs/>
          <w:color w:val="000000"/>
          <w:sz w:val="20"/>
          <w:szCs w:val="20"/>
          <w:lang w:eastAsia="en-GB"/>
        </w:rPr>
        <w:t xml:space="preserve"> [14,15]</w:t>
      </w:r>
      <w:r w:rsidR="00AC6127" w:rsidRPr="0089336D">
        <w:rPr>
          <w:rFonts w:ascii="Times New Roman" w:eastAsia="Times New Roman" w:hAnsi="Times New Roman" w:cs="Times New Roman"/>
          <w:iCs/>
          <w:color w:val="000000"/>
          <w:sz w:val="20"/>
          <w:szCs w:val="20"/>
          <w:lang w:eastAsia="en-GB"/>
        </w:rPr>
        <w:t>.</w:t>
      </w:r>
    </w:p>
    <w:p w14:paraId="0AE11746" w14:textId="77777777" w:rsidR="00033813" w:rsidRPr="0089336D" w:rsidRDefault="00033813" w:rsidP="007F1E72">
      <w:pPr>
        <w:spacing w:after="0" w:line="240" w:lineRule="auto"/>
        <w:jc w:val="both"/>
        <w:rPr>
          <w:rFonts w:ascii="Times New Roman" w:eastAsia="Times New Roman" w:hAnsi="Times New Roman" w:cs="Times New Roman"/>
          <w:iCs/>
          <w:color w:val="000000"/>
          <w:sz w:val="20"/>
          <w:szCs w:val="20"/>
          <w:lang w:eastAsia="en-GB"/>
        </w:rPr>
      </w:pPr>
    </w:p>
    <w:p w14:paraId="35926152" w14:textId="02B1BE2F" w:rsidR="00574A76" w:rsidRPr="0089336D" w:rsidRDefault="00574A76" w:rsidP="007F1E72">
      <w:pPr>
        <w:spacing w:after="0" w:line="240" w:lineRule="auto"/>
        <w:jc w:val="both"/>
        <w:rPr>
          <w:rFonts w:ascii="Times New Roman" w:eastAsia="Times New Roman" w:hAnsi="Times New Roman" w:cs="Times New Roman"/>
          <w:iCs/>
          <w:color w:val="000000"/>
          <w:sz w:val="20"/>
          <w:szCs w:val="20"/>
          <w:lang w:eastAsia="en-GB"/>
        </w:rPr>
      </w:pPr>
      <w:r w:rsidRPr="0089336D">
        <w:rPr>
          <w:rFonts w:ascii="Times New Roman" w:eastAsia="Times New Roman" w:hAnsi="Times New Roman" w:cs="Times New Roman"/>
          <w:iCs/>
          <w:color w:val="000000"/>
          <w:sz w:val="20"/>
          <w:szCs w:val="20"/>
          <w:lang w:eastAsia="en-GB"/>
        </w:rPr>
        <w:t xml:space="preserve">The newer atypical LAIs have offered additional benefits of improved tolerability and practical </w:t>
      </w:r>
      <w:r w:rsidR="007A0941" w:rsidRPr="0089336D">
        <w:rPr>
          <w:rFonts w:ascii="Times New Roman" w:eastAsia="Times New Roman" w:hAnsi="Times New Roman" w:cs="Times New Roman"/>
          <w:iCs/>
          <w:color w:val="000000"/>
          <w:sz w:val="20"/>
          <w:szCs w:val="20"/>
          <w:lang w:eastAsia="en-GB"/>
        </w:rPr>
        <w:t>advantages pertaining to</w:t>
      </w:r>
      <w:r w:rsidRPr="0089336D">
        <w:rPr>
          <w:rFonts w:ascii="Times New Roman" w:eastAsia="Times New Roman" w:hAnsi="Times New Roman" w:cs="Times New Roman"/>
          <w:iCs/>
          <w:color w:val="000000"/>
          <w:sz w:val="20"/>
          <w:szCs w:val="20"/>
          <w:lang w:eastAsia="en-GB"/>
        </w:rPr>
        <w:t xml:space="preserve"> dosing, frequency and site of administration</w:t>
      </w:r>
      <w:r w:rsidR="00590190" w:rsidRPr="0089336D">
        <w:rPr>
          <w:rFonts w:ascii="Times New Roman" w:eastAsia="Times New Roman" w:hAnsi="Times New Roman" w:cs="Times New Roman"/>
          <w:iCs/>
          <w:color w:val="000000"/>
          <w:sz w:val="20"/>
          <w:szCs w:val="20"/>
          <w:lang w:eastAsia="en-GB"/>
        </w:rPr>
        <w:t xml:space="preserve">; they may, for example, </w:t>
      </w:r>
      <w:r w:rsidR="007A0941" w:rsidRPr="0089336D">
        <w:rPr>
          <w:rFonts w:ascii="Times New Roman" w:eastAsia="Times New Roman" w:hAnsi="Times New Roman" w:cs="Times New Roman"/>
          <w:iCs/>
          <w:color w:val="000000"/>
          <w:sz w:val="20"/>
          <w:szCs w:val="20"/>
          <w:lang w:eastAsia="en-GB"/>
        </w:rPr>
        <w:t xml:space="preserve">better mitigate against partial </w:t>
      </w:r>
      <w:r w:rsidR="008F59FF" w:rsidRPr="0089336D">
        <w:rPr>
          <w:rFonts w:ascii="Times New Roman" w:eastAsia="Times New Roman" w:hAnsi="Times New Roman" w:cs="Times New Roman"/>
          <w:iCs/>
          <w:color w:val="000000"/>
          <w:sz w:val="20"/>
          <w:szCs w:val="20"/>
          <w:lang w:eastAsia="en-GB"/>
        </w:rPr>
        <w:t xml:space="preserve">adherence </w:t>
      </w:r>
      <w:r w:rsidR="007A0941" w:rsidRPr="0089336D">
        <w:rPr>
          <w:rFonts w:ascii="Times New Roman" w:eastAsia="Times New Roman" w:hAnsi="Times New Roman" w:cs="Times New Roman"/>
          <w:iCs/>
          <w:color w:val="000000"/>
          <w:sz w:val="20"/>
          <w:szCs w:val="20"/>
          <w:lang w:eastAsia="en-GB"/>
        </w:rPr>
        <w:t>with the use of longer acting formulations</w:t>
      </w:r>
      <w:r w:rsidR="002424AF" w:rsidRPr="0089336D">
        <w:rPr>
          <w:rFonts w:ascii="Times New Roman" w:eastAsia="Times New Roman" w:hAnsi="Times New Roman" w:cs="Times New Roman"/>
          <w:iCs/>
          <w:color w:val="000000"/>
          <w:sz w:val="20"/>
          <w:szCs w:val="20"/>
          <w:lang w:eastAsia="en-GB"/>
        </w:rPr>
        <w:t xml:space="preserve"> [16]</w:t>
      </w:r>
      <w:r w:rsidR="007A0941" w:rsidRPr="0089336D">
        <w:rPr>
          <w:rFonts w:ascii="Times New Roman" w:eastAsia="Times New Roman" w:hAnsi="Times New Roman" w:cs="Times New Roman"/>
          <w:iCs/>
          <w:color w:val="000000"/>
          <w:sz w:val="20"/>
          <w:szCs w:val="20"/>
          <w:lang w:eastAsia="en-GB"/>
        </w:rPr>
        <w:t xml:space="preserve">. </w:t>
      </w:r>
      <w:r w:rsidR="007D7799" w:rsidRPr="0089336D">
        <w:rPr>
          <w:rFonts w:ascii="Times New Roman" w:eastAsia="Times New Roman" w:hAnsi="Times New Roman" w:cs="Times New Roman"/>
          <w:iCs/>
          <w:color w:val="000000"/>
          <w:sz w:val="20"/>
          <w:szCs w:val="20"/>
          <w:lang w:eastAsia="en-GB"/>
        </w:rPr>
        <w:t xml:space="preserve">In fact, emerging evidence supports the notion that less frequent administration of LAIs may </w:t>
      </w:r>
      <w:r w:rsidR="00784A3F">
        <w:rPr>
          <w:rFonts w:ascii="Times New Roman" w:eastAsia="Times New Roman" w:hAnsi="Times New Roman" w:cs="Times New Roman"/>
          <w:iCs/>
          <w:color w:val="000000"/>
          <w:sz w:val="20"/>
          <w:szCs w:val="20"/>
          <w:lang w:eastAsia="en-GB"/>
        </w:rPr>
        <w:t xml:space="preserve">improve </w:t>
      </w:r>
      <w:r w:rsidR="007D7799" w:rsidRPr="0089336D">
        <w:rPr>
          <w:rFonts w:ascii="Times New Roman" w:eastAsia="Times New Roman" w:hAnsi="Times New Roman" w:cs="Times New Roman"/>
          <w:iCs/>
          <w:color w:val="000000"/>
          <w:sz w:val="20"/>
          <w:szCs w:val="20"/>
          <w:lang w:eastAsia="en-GB"/>
        </w:rPr>
        <w:t xml:space="preserve">patient outcomes by </w:t>
      </w:r>
      <w:r w:rsidR="00784A3F">
        <w:rPr>
          <w:rFonts w:ascii="Times New Roman" w:eastAsia="Times New Roman" w:hAnsi="Times New Roman" w:cs="Times New Roman"/>
          <w:iCs/>
          <w:color w:val="000000"/>
          <w:sz w:val="20"/>
          <w:szCs w:val="20"/>
          <w:lang w:eastAsia="en-GB"/>
        </w:rPr>
        <w:t>improving</w:t>
      </w:r>
      <w:r w:rsidR="00784A3F" w:rsidRPr="00471EC2">
        <w:rPr>
          <w:rFonts w:ascii="Times New Roman" w:eastAsia="Times New Roman" w:hAnsi="Times New Roman" w:cs="Times New Roman"/>
          <w:iCs/>
          <w:color w:val="000000"/>
          <w:sz w:val="20"/>
          <w:szCs w:val="20"/>
          <w:lang w:eastAsia="en-GB"/>
        </w:rPr>
        <w:t xml:space="preserve"> the actual level of adherence </w:t>
      </w:r>
      <w:r w:rsidR="00784A3F">
        <w:rPr>
          <w:rFonts w:ascii="Times New Roman" w:eastAsia="Times New Roman" w:hAnsi="Times New Roman" w:cs="Times New Roman"/>
          <w:iCs/>
          <w:color w:val="000000"/>
          <w:sz w:val="20"/>
          <w:szCs w:val="20"/>
          <w:lang w:eastAsia="en-GB"/>
        </w:rPr>
        <w:t xml:space="preserve">and </w:t>
      </w:r>
      <w:r w:rsidR="007D7799" w:rsidRPr="0089336D">
        <w:rPr>
          <w:rFonts w:ascii="Times New Roman" w:eastAsia="Times New Roman" w:hAnsi="Times New Roman" w:cs="Times New Roman"/>
          <w:iCs/>
          <w:color w:val="000000"/>
          <w:sz w:val="20"/>
          <w:szCs w:val="20"/>
          <w:lang w:eastAsia="en-GB"/>
        </w:rPr>
        <w:t>avoiding treatment gaps</w:t>
      </w:r>
      <w:r w:rsidR="0060176D" w:rsidRPr="0089336D">
        <w:rPr>
          <w:rFonts w:ascii="Times New Roman" w:eastAsia="Times New Roman" w:hAnsi="Times New Roman" w:cs="Times New Roman"/>
          <w:iCs/>
          <w:color w:val="000000"/>
          <w:sz w:val="20"/>
          <w:szCs w:val="20"/>
          <w:lang w:eastAsia="en-GB"/>
        </w:rPr>
        <w:t xml:space="preserve"> [17].</w:t>
      </w:r>
      <w:r w:rsidR="007D7799" w:rsidRPr="0089336D">
        <w:rPr>
          <w:rFonts w:ascii="Times New Roman" w:eastAsia="Times New Roman" w:hAnsi="Times New Roman" w:cs="Times New Roman"/>
          <w:iCs/>
          <w:color w:val="000000"/>
          <w:sz w:val="20"/>
          <w:szCs w:val="20"/>
          <w:lang w:eastAsia="en-GB"/>
        </w:rPr>
        <w:t xml:space="preserve"> </w:t>
      </w:r>
      <w:r w:rsidRPr="0089336D">
        <w:rPr>
          <w:rFonts w:ascii="Times New Roman" w:eastAsia="Times New Roman" w:hAnsi="Times New Roman" w:cs="Times New Roman"/>
          <w:iCs/>
          <w:color w:val="000000"/>
          <w:sz w:val="20"/>
          <w:szCs w:val="20"/>
          <w:lang w:eastAsia="en-GB"/>
        </w:rPr>
        <w:t xml:space="preserve">Apart from the evidence deriving from </w:t>
      </w:r>
      <w:r w:rsidR="00A3786B" w:rsidRPr="0089336D">
        <w:rPr>
          <w:rFonts w:ascii="Times New Roman" w:eastAsia="Times New Roman" w:hAnsi="Times New Roman" w:cs="Times New Roman"/>
          <w:iCs/>
          <w:color w:val="000000"/>
          <w:sz w:val="20"/>
          <w:szCs w:val="20"/>
          <w:lang w:eastAsia="en-GB"/>
        </w:rPr>
        <w:t>Randomised Control Trials (</w:t>
      </w:r>
      <w:r w:rsidRPr="0089336D">
        <w:rPr>
          <w:rFonts w:ascii="Times New Roman" w:eastAsia="Times New Roman" w:hAnsi="Times New Roman" w:cs="Times New Roman"/>
          <w:iCs/>
          <w:color w:val="000000"/>
          <w:sz w:val="20"/>
          <w:szCs w:val="20"/>
          <w:lang w:eastAsia="en-GB"/>
        </w:rPr>
        <w:t>RCTs</w:t>
      </w:r>
      <w:r w:rsidR="00A3786B" w:rsidRPr="0089336D">
        <w:rPr>
          <w:rFonts w:ascii="Times New Roman" w:eastAsia="Times New Roman" w:hAnsi="Times New Roman" w:cs="Times New Roman"/>
          <w:iCs/>
          <w:color w:val="000000"/>
          <w:sz w:val="20"/>
          <w:szCs w:val="20"/>
          <w:lang w:eastAsia="en-GB"/>
        </w:rPr>
        <w:t>)</w:t>
      </w:r>
      <w:r w:rsidRPr="0089336D">
        <w:rPr>
          <w:rFonts w:ascii="Times New Roman" w:eastAsia="Times New Roman" w:hAnsi="Times New Roman" w:cs="Times New Roman"/>
          <w:iCs/>
          <w:color w:val="000000"/>
          <w:sz w:val="20"/>
          <w:szCs w:val="20"/>
          <w:lang w:eastAsia="en-GB"/>
        </w:rPr>
        <w:t xml:space="preserve">, a number of </w:t>
      </w:r>
      <w:r w:rsidR="007D7799" w:rsidRPr="0089336D">
        <w:rPr>
          <w:rFonts w:ascii="Times New Roman" w:eastAsia="Times New Roman" w:hAnsi="Times New Roman" w:cs="Times New Roman"/>
          <w:iCs/>
          <w:color w:val="000000"/>
          <w:sz w:val="20"/>
          <w:szCs w:val="20"/>
          <w:lang w:eastAsia="en-GB"/>
        </w:rPr>
        <w:t xml:space="preserve">naturalistic </w:t>
      </w:r>
      <w:r w:rsidRPr="0089336D">
        <w:rPr>
          <w:rFonts w:ascii="Times New Roman" w:eastAsia="Times New Roman" w:hAnsi="Times New Roman" w:cs="Times New Roman"/>
          <w:iCs/>
          <w:color w:val="000000"/>
          <w:sz w:val="20"/>
          <w:szCs w:val="20"/>
          <w:lang w:eastAsia="en-GB"/>
        </w:rPr>
        <w:t>mirror image and cohort studies have also demonstrated ‘real world’ effectiveness of LAIs given that the pragmatic management of schizophrenia is far more complex in routine clinical settings</w:t>
      </w:r>
      <w:r w:rsidR="00A61F54">
        <w:rPr>
          <w:rFonts w:ascii="Times New Roman" w:eastAsia="Times New Roman" w:hAnsi="Times New Roman" w:cs="Times New Roman"/>
          <w:iCs/>
          <w:color w:val="000000"/>
          <w:sz w:val="20"/>
          <w:szCs w:val="20"/>
          <w:lang w:eastAsia="en-GB"/>
        </w:rPr>
        <w:t>,</w:t>
      </w:r>
      <w:r w:rsidR="00D77ABF" w:rsidRPr="0089336D">
        <w:rPr>
          <w:rFonts w:ascii="Times New Roman" w:eastAsia="Times New Roman" w:hAnsi="Times New Roman" w:cs="Times New Roman"/>
          <w:iCs/>
          <w:color w:val="000000"/>
          <w:sz w:val="20"/>
          <w:szCs w:val="20"/>
          <w:lang w:eastAsia="en-GB"/>
        </w:rPr>
        <w:t xml:space="preserve"> </w:t>
      </w:r>
      <w:r w:rsidR="007D7799" w:rsidRPr="0089336D">
        <w:rPr>
          <w:rFonts w:ascii="Times New Roman" w:eastAsia="Times New Roman" w:hAnsi="Times New Roman" w:cs="Times New Roman"/>
          <w:iCs/>
          <w:color w:val="000000"/>
          <w:sz w:val="20"/>
          <w:szCs w:val="20"/>
          <w:lang w:eastAsia="en-GB"/>
        </w:rPr>
        <w:t>often including p</w:t>
      </w:r>
      <w:r w:rsidR="003026DF" w:rsidRPr="0089336D">
        <w:rPr>
          <w:rFonts w:ascii="Times New Roman" w:eastAsia="Times New Roman" w:hAnsi="Times New Roman" w:cs="Times New Roman"/>
          <w:iCs/>
          <w:color w:val="000000"/>
          <w:sz w:val="20"/>
          <w:szCs w:val="20"/>
          <w:lang w:eastAsia="en-GB"/>
        </w:rPr>
        <w:t xml:space="preserve">atients with dual diagnosis, other </w:t>
      </w:r>
      <w:r w:rsidR="007D7799" w:rsidRPr="0089336D">
        <w:rPr>
          <w:rFonts w:ascii="Times New Roman" w:eastAsia="Times New Roman" w:hAnsi="Times New Roman" w:cs="Times New Roman"/>
          <w:iCs/>
          <w:color w:val="000000"/>
          <w:sz w:val="20"/>
          <w:szCs w:val="20"/>
          <w:lang w:eastAsia="en-GB"/>
        </w:rPr>
        <w:t>psychi</w:t>
      </w:r>
      <w:r w:rsidR="003026DF" w:rsidRPr="0089336D">
        <w:rPr>
          <w:rFonts w:ascii="Times New Roman" w:eastAsia="Times New Roman" w:hAnsi="Times New Roman" w:cs="Times New Roman"/>
          <w:iCs/>
          <w:color w:val="000000"/>
          <w:sz w:val="20"/>
          <w:szCs w:val="20"/>
          <w:lang w:eastAsia="en-GB"/>
        </w:rPr>
        <w:t xml:space="preserve">atric and </w:t>
      </w:r>
      <w:r w:rsidR="007D7799" w:rsidRPr="0089336D">
        <w:rPr>
          <w:rFonts w:ascii="Times New Roman" w:eastAsia="Times New Roman" w:hAnsi="Times New Roman" w:cs="Times New Roman"/>
          <w:iCs/>
          <w:color w:val="000000"/>
          <w:sz w:val="20"/>
          <w:szCs w:val="20"/>
          <w:lang w:eastAsia="en-GB"/>
        </w:rPr>
        <w:t>physical comorbidities and</w:t>
      </w:r>
      <w:r w:rsidR="003026DF" w:rsidRPr="0089336D">
        <w:rPr>
          <w:rFonts w:ascii="Times New Roman" w:eastAsia="Times New Roman" w:hAnsi="Times New Roman" w:cs="Times New Roman"/>
          <w:iCs/>
          <w:color w:val="000000"/>
          <w:sz w:val="20"/>
          <w:szCs w:val="20"/>
          <w:lang w:eastAsia="en-GB"/>
        </w:rPr>
        <w:t>/or</w:t>
      </w:r>
      <w:r w:rsidR="007D7799" w:rsidRPr="0089336D">
        <w:rPr>
          <w:rFonts w:ascii="Times New Roman" w:eastAsia="Times New Roman" w:hAnsi="Times New Roman" w:cs="Times New Roman"/>
          <w:iCs/>
          <w:color w:val="000000"/>
          <w:sz w:val="20"/>
          <w:szCs w:val="20"/>
          <w:lang w:eastAsia="en-GB"/>
        </w:rPr>
        <w:t xml:space="preserve"> issues with polypharmacy, limited insight, lack of capacity or poor engagement </w:t>
      </w:r>
      <w:r w:rsidR="002424AF" w:rsidRPr="0089336D">
        <w:rPr>
          <w:rFonts w:ascii="Times New Roman" w:eastAsia="Times New Roman" w:hAnsi="Times New Roman" w:cs="Times New Roman"/>
          <w:iCs/>
          <w:color w:val="000000"/>
          <w:sz w:val="20"/>
          <w:szCs w:val="20"/>
          <w:lang w:eastAsia="en-GB"/>
        </w:rPr>
        <w:t>[1</w:t>
      </w:r>
      <w:r w:rsidR="0060176D">
        <w:rPr>
          <w:rFonts w:ascii="Times New Roman" w:eastAsia="Times New Roman" w:hAnsi="Times New Roman" w:cs="Times New Roman"/>
          <w:iCs/>
          <w:color w:val="000000"/>
          <w:sz w:val="20"/>
          <w:szCs w:val="20"/>
          <w:lang w:eastAsia="en-GB"/>
        </w:rPr>
        <w:t>8</w:t>
      </w:r>
      <w:r w:rsidR="002424AF" w:rsidRPr="0089336D">
        <w:rPr>
          <w:rFonts w:ascii="Times New Roman" w:eastAsia="Times New Roman" w:hAnsi="Times New Roman" w:cs="Times New Roman"/>
          <w:iCs/>
          <w:color w:val="000000"/>
          <w:sz w:val="20"/>
          <w:szCs w:val="20"/>
          <w:lang w:eastAsia="en-GB"/>
        </w:rPr>
        <w:t>]</w:t>
      </w:r>
      <w:r w:rsidRPr="0089336D">
        <w:rPr>
          <w:rFonts w:ascii="Times New Roman" w:eastAsia="Times New Roman" w:hAnsi="Times New Roman" w:cs="Times New Roman"/>
          <w:iCs/>
          <w:color w:val="000000"/>
          <w:sz w:val="20"/>
          <w:szCs w:val="20"/>
          <w:lang w:eastAsia="en-GB"/>
        </w:rPr>
        <w:t>.</w:t>
      </w:r>
    </w:p>
    <w:p w14:paraId="2FF5474C" w14:textId="77777777" w:rsidR="00574A76" w:rsidRPr="0089336D" w:rsidRDefault="00574A76" w:rsidP="007F1E72">
      <w:pPr>
        <w:spacing w:after="0" w:line="240" w:lineRule="auto"/>
        <w:jc w:val="both"/>
        <w:rPr>
          <w:rFonts w:ascii="Times New Roman" w:eastAsia="Times New Roman" w:hAnsi="Times New Roman" w:cs="Times New Roman"/>
          <w:iCs/>
          <w:color w:val="000000"/>
          <w:sz w:val="20"/>
          <w:szCs w:val="20"/>
          <w:lang w:eastAsia="en-GB"/>
        </w:rPr>
      </w:pPr>
    </w:p>
    <w:p w14:paraId="0AA15292" w14:textId="096F0CCB" w:rsidR="005D6EB0" w:rsidRPr="0089336D" w:rsidRDefault="005D6EB0" w:rsidP="007F1E72">
      <w:pPr>
        <w:spacing w:after="0" w:line="240" w:lineRule="auto"/>
        <w:jc w:val="both"/>
        <w:rPr>
          <w:rFonts w:ascii="Times New Roman" w:eastAsia="Times New Roman" w:hAnsi="Times New Roman" w:cs="Times New Roman"/>
          <w:iCs/>
          <w:color w:val="000000"/>
          <w:sz w:val="20"/>
          <w:szCs w:val="20"/>
          <w:lang w:eastAsia="en-GB"/>
        </w:rPr>
      </w:pPr>
      <w:r w:rsidRPr="0089336D">
        <w:rPr>
          <w:rFonts w:ascii="Times New Roman" w:eastAsia="Times New Roman" w:hAnsi="Times New Roman" w:cs="Times New Roman"/>
          <w:iCs/>
          <w:color w:val="000000"/>
          <w:sz w:val="20"/>
          <w:szCs w:val="20"/>
          <w:lang w:eastAsia="en-GB"/>
        </w:rPr>
        <w:t xml:space="preserve">However, </w:t>
      </w:r>
      <w:r w:rsidR="00167318" w:rsidRPr="0089336D">
        <w:rPr>
          <w:rFonts w:ascii="Times New Roman" w:eastAsia="Times New Roman" w:hAnsi="Times New Roman" w:cs="Times New Roman"/>
          <w:iCs/>
          <w:color w:val="000000"/>
          <w:sz w:val="20"/>
          <w:szCs w:val="20"/>
          <w:lang w:eastAsia="en-GB"/>
        </w:rPr>
        <w:t xml:space="preserve">LAIs are often used as continuous </w:t>
      </w:r>
      <w:r w:rsidR="0029521B" w:rsidRPr="0089336D">
        <w:rPr>
          <w:rFonts w:ascii="Times New Roman" w:eastAsia="Times New Roman" w:hAnsi="Times New Roman" w:cs="Times New Roman"/>
          <w:iCs/>
          <w:color w:val="000000"/>
          <w:sz w:val="20"/>
          <w:szCs w:val="20"/>
          <w:lang w:eastAsia="en-GB"/>
        </w:rPr>
        <w:t>- and often</w:t>
      </w:r>
      <w:r w:rsidR="00167318" w:rsidRPr="0089336D">
        <w:rPr>
          <w:rFonts w:ascii="Times New Roman" w:eastAsia="Times New Roman" w:hAnsi="Times New Roman" w:cs="Times New Roman"/>
          <w:iCs/>
          <w:color w:val="000000"/>
          <w:sz w:val="20"/>
          <w:szCs w:val="20"/>
          <w:lang w:eastAsia="en-GB"/>
        </w:rPr>
        <w:t xml:space="preserve"> lifelong</w:t>
      </w:r>
      <w:r w:rsidR="0029521B" w:rsidRPr="0089336D">
        <w:rPr>
          <w:rFonts w:ascii="Times New Roman" w:eastAsia="Times New Roman" w:hAnsi="Times New Roman" w:cs="Times New Roman"/>
          <w:iCs/>
          <w:color w:val="000000"/>
          <w:sz w:val="20"/>
          <w:szCs w:val="20"/>
          <w:lang w:eastAsia="en-GB"/>
        </w:rPr>
        <w:t xml:space="preserve"> -</w:t>
      </w:r>
      <w:r w:rsidR="00167318" w:rsidRPr="0089336D">
        <w:rPr>
          <w:rFonts w:ascii="Times New Roman" w:eastAsia="Times New Roman" w:hAnsi="Times New Roman" w:cs="Times New Roman"/>
          <w:iCs/>
          <w:color w:val="000000"/>
          <w:sz w:val="20"/>
          <w:szCs w:val="20"/>
          <w:lang w:eastAsia="en-GB"/>
        </w:rPr>
        <w:t xml:space="preserve"> </w:t>
      </w:r>
      <w:r w:rsidR="007A0941" w:rsidRPr="0089336D">
        <w:rPr>
          <w:rFonts w:ascii="Times New Roman" w:eastAsia="Times New Roman" w:hAnsi="Times New Roman" w:cs="Times New Roman"/>
          <w:iCs/>
          <w:color w:val="000000"/>
          <w:sz w:val="20"/>
          <w:szCs w:val="20"/>
          <w:lang w:eastAsia="en-GB"/>
        </w:rPr>
        <w:t xml:space="preserve">maintenance </w:t>
      </w:r>
      <w:r w:rsidR="00167318" w:rsidRPr="0089336D">
        <w:rPr>
          <w:rFonts w:ascii="Times New Roman" w:eastAsia="Times New Roman" w:hAnsi="Times New Roman" w:cs="Times New Roman"/>
          <w:iCs/>
          <w:color w:val="000000"/>
          <w:sz w:val="20"/>
          <w:szCs w:val="20"/>
          <w:lang w:eastAsia="en-GB"/>
        </w:rPr>
        <w:t>treatment and gathering information about the l</w:t>
      </w:r>
      <w:r w:rsidRPr="0089336D">
        <w:rPr>
          <w:rFonts w:ascii="Times New Roman" w:eastAsia="Times New Roman" w:hAnsi="Times New Roman" w:cs="Times New Roman"/>
          <w:iCs/>
          <w:color w:val="000000"/>
          <w:sz w:val="20"/>
          <w:szCs w:val="20"/>
          <w:lang w:eastAsia="en-GB"/>
        </w:rPr>
        <w:t xml:space="preserve">ong-term </w:t>
      </w:r>
      <w:r w:rsidR="007A0941" w:rsidRPr="0089336D">
        <w:rPr>
          <w:rFonts w:ascii="Times New Roman" w:eastAsia="Times New Roman" w:hAnsi="Times New Roman" w:cs="Times New Roman"/>
          <w:iCs/>
          <w:color w:val="000000"/>
          <w:sz w:val="20"/>
          <w:szCs w:val="20"/>
          <w:lang w:eastAsia="en-GB"/>
        </w:rPr>
        <w:t xml:space="preserve">effects </w:t>
      </w:r>
      <w:r w:rsidR="00167318" w:rsidRPr="0089336D">
        <w:rPr>
          <w:rFonts w:ascii="Times New Roman" w:eastAsia="Times New Roman" w:hAnsi="Times New Roman" w:cs="Times New Roman"/>
          <w:iCs/>
          <w:color w:val="000000"/>
          <w:sz w:val="20"/>
          <w:szCs w:val="20"/>
          <w:lang w:eastAsia="en-GB"/>
        </w:rPr>
        <w:t>remains important</w:t>
      </w:r>
      <w:r w:rsidR="007A0941" w:rsidRPr="0089336D">
        <w:rPr>
          <w:rFonts w:ascii="Times New Roman" w:eastAsia="Times New Roman" w:hAnsi="Times New Roman" w:cs="Times New Roman"/>
          <w:iCs/>
          <w:color w:val="000000"/>
          <w:sz w:val="20"/>
          <w:szCs w:val="20"/>
          <w:lang w:eastAsia="en-GB"/>
        </w:rPr>
        <w:t xml:space="preserve"> </w:t>
      </w:r>
      <w:r w:rsidR="00167318" w:rsidRPr="0089336D">
        <w:rPr>
          <w:rFonts w:ascii="Times New Roman" w:eastAsia="Times New Roman" w:hAnsi="Times New Roman" w:cs="Times New Roman"/>
          <w:iCs/>
          <w:color w:val="000000"/>
          <w:sz w:val="20"/>
          <w:szCs w:val="20"/>
          <w:lang w:eastAsia="en-GB"/>
        </w:rPr>
        <w:t xml:space="preserve">but is presently </w:t>
      </w:r>
      <w:r w:rsidRPr="0089336D">
        <w:rPr>
          <w:rFonts w:ascii="Times New Roman" w:eastAsia="Times New Roman" w:hAnsi="Times New Roman" w:cs="Times New Roman"/>
          <w:iCs/>
          <w:color w:val="000000"/>
          <w:sz w:val="20"/>
          <w:szCs w:val="20"/>
          <w:lang w:eastAsia="en-GB"/>
        </w:rPr>
        <w:t xml:space="preserve">limited. Therefore, the main aim of this study was to establish the long-term clinical outcomes such as hospitalisation rates and treatment </w:t>
      </w:r>
      <w:r w:rsidR="00087340" w:rsidRPr="0089336D">
        <w:rPr>
          <w:rFonts w:ascii="Times New Roman" w:eastAsia="Times New Roman" w:hAnsi="Times New Roman" w:cs="Times New Roman"/>
          <w:iCs/>
          <w:color w:val="000000"/>
          <w:sz w:val="20"/>
          <w:szCs w:val="20"/>
          <w:lang w:eastAsia="en-GB"/>
        </w:rPr>
        <w:t>dis</w:t>
      </w:r>
      <w:r w:rsidRPr="0089336D">
        <w:rPr>
          <w:rFonts w:ascii="Times New Roman" w:eastAsia="Times New Roman" w:hAnsi="Times New Roman" w:cs="Times New Roman"/>
          <w:iCs/>
          <w:color w:val="000000"/>
          <w:sz w:val="20"/>
          <w:szCs w:val="20"/>
          <w:lang w:eastAsia="en-GB"/>
        </w:rPr>
        <w:t xml:space="preserve">continuation of Paliperidone Palmitate </w:t>
      </w:r>
      <w:r w:rsidR="00734987" w:rsidRPr="0089336D">
        <w:rPr>
          <w:rFonts w:ascii="Times New Roman" w:eastAsia="Times New Roman" w:hAnsi="Times New Roman" w:cs="Times New Roman"/>
          <w:iCs/>
          <w:color w:val="000000"/>
          <w:sz w:val="20"/>
          <w:szCs w:val="20"/>
          <w:lang w:eastAsia="en-GB"/>
        </w:rPr>
        <w:t>once</w:t>
      </w:r>
      <w:r w:rsidR="00147046" w:rsidRPr="0089336D">
        <w:rPr>
          <w:rFonts w:ascii="Times New Roman" w:eastAsia="Times New Roman" w:hAnsi="Times New Roman" w:cs="Times New Roman"/>
          <w:iCs/>
          <w:color w:val="000000"/>
          <w:sz w:val="20"/>
          <w:szCs w:val="20"/>
          <w:lang w:eastAsia="en-GB"/>
        </w:rPr>
        <w:t xml:space="preserve">-monthly </w:t>
      </w:r>
      <w:r w:rsidRPr="0089336D">
        <w:rPr>
          <w:rFonts w:ascii="Times New Roman" w:eastAsia="Times New Roman" w:hAnsi="Times New Roman" w:cs="Times New Roman"/>
          <w:iCs/>
          <w:color w:val="000000"/>
          <w:sz w:val="20"/>
          <w:szCs w:val="20"/>
          <w:lang w:eastAsia="en-GB"/>
        </w:rPr>
        <w:t>(PP1M), one of the most commonly used second-generation LAI</w:t>
      </w:r>
      <w:r w:rsidR="00D827E2" w:rsidRPr="0089336D">
        <w:rPr>
          <w:rFonts w:ascii="Times New Roman" w:eastAsia="Times New Roman" w:hAnsi="Times New Roman" w:cs="Times New Roman"/>
          <w:iCs/>
          <w:color w:val="000000"/>
          <w:sz w:val="20"/>
          <w:szCs w:val="20"/>
          <w:lang w:eastAsia="en-GB"/>
        </w:rPr>
        <w:t xml:space="preserve"> </w:t>
      </w:r>
      <w:r w:rsidR="00D827E2" w:rsidRPr="0089336D" w:rsidDel="009F3822">
        <w:rPr>
          <w:rFonts w:ascii="Times New Roman" w:eastAsia="Times New Roman" w:hAnsi="Times New Roman" w:cs="Times New Roman"/>
          <w:iCs/>
          <w:color w:val="000000"/>
          <w:sz w:val="20"/>
          <w:szCs w:val="20"/>
          <w:lang w:eastAsia="en-GB"/>
        </w:rPr>
        <w:t>[1</w:t>
      </w:r>
      <w:r w:rsidR="0060176D">
        <w:rPr>
          <w:rFonts w:ascii="Times New Roman" w:eastAsia="Times New Roman" w:hAnsi="Times New Roman" w:cs="Times New Roman"/>
          <w:iCs/>
          <w:color w:val="000000"/>
          <w:sz w:val="20"/>
          <w:szCs w:val="20"/>
          <w:lang w:eastAsia="en-GB"/>
        </w:rPr>
        <w:t>9</w:t>
      </w:r>
      <w:r w:rsidR="00D827E2" w:rsidRPr="0089336D" w:rsidDel="009F3822">
        <w:rPr>
          <w:rFonts w:ascii="Times New Roman" w:eastAsia="Times New Roman" w:hAnsi="Times New Roman" w:cs="Times New Roman"/>
          <w:iCs/>
          <w:color w:val="000000"/>
          <w:sz w:val="20"/>
          <w:szCs w:val="20"/>
          <w:lang w:eastAsia="en-GB"/>
        </w:rPr>
        <w:t>,</w:t>
      </w:r>
      <w:r w:rsidR="0060176D">
        <w:rPr>
          <w:rFonts w:ascii="Times New Roman" w:eastAsia="Times New Roman" w:hAnsi="Times New Roman" w:cs="Times New Roman"/>
          <w:iCs/>
          <w:color w:val="000000"/>
          <w:sz w:val="20"/>
          <w:szCs w:val="20"/>
          <w:lang w:eastAsia="en-GB"/>
        </w:rPr>
        <w:t>20</w:t>
      </w:r>
      <w:r w:rsidR="00D827E2" w:rsidRPr="0089336D" w:rsidDel="009F3822">
        <w:rPr>
          <w:rFonts w:ascii="Times New Roman" w:eastAsia="Times New Roman" w:hAnsi="Times New Roman" w:cs="Times New Roman"/>
          <w:iCs/>
          <w:color w:val="000000"/>
          <w:sz w:val="20"/>
          <w:szCs w:val="20"/>
          <w:lang w:eastAsia="en-GB"/>
        </w:rPr>
        <w:t>]</w:t>
      </w:r>
      <w:r w:rsidR="00643195" w:rsidRPr="0089336D">
        <w:rPr>
          <w:rFonts w:ascii="Times New Roman" w:eastAsia="Times New Roman" w:hAnsi="Times New Roman" w:cs="Times New Roman"/>
          <w:iCs/>
          <w:color w:val="000000"/>
          <w:sz w:val="20"/>
          <w:szCs w:val="20"/>
          <w:lang w:eastAsia="en-GB"/>
        </w:rPr>
        <w:t>.</w:t>
      </w:r>
    </w:p>
    <w:p w14:paraId="69E9548C" w14:textId="77777777" w:rsidR="005D6EB0" w:rsidRPr="0089336D" w:rsidRDefault="005D6EB0" w:rsidP="007F1E72">
      <w:pPr>
        <w:spacing w:after="0" w:line="240" w:lineRule="auto"/>
        <w:jc w:val="both"/>
        <w:rPr>
          <w:rFonts w:ascii="Times New Roman" w:eastAsia="Times New Roman" w:hAnsi="Times New Roman" w:cs="Times New Roman"/>
          <w:iCs/>
          <w:color w:val="000000"/>
          <w:sz w:val="20"/>
          <w:szCs w:val="20"/>
          <w:lang w:eastAsia="en-GB"/>
        </w:rPr>
      </w:pPr>
    </w:p>
    <w:p w14:paraId="3BCC638C" w14:textId="062AEE05" w:rsidR="00E45BE3" w:rsidRPr="00AA5B69" w:rsidRDefault="00DA1947" w:rsidP="00734987">
      <w:pPr>
        <w:pStyle w:val="Heading1"/>
        <w:rPr>
          <w:rFonts w:ascii="Times New Roman" w:eastAsia="Times New Roman" w:hAnsi="Times New Roman" w:cs="Times New Roman"/>
          <w:color w:val="000000"/>
          <w:sz w:val="24"/>
          <w:szCs w:val="24"/>
          <w:lang w:eastAsia="en-GB"/>
        </w:rPr>
      </w:pPr>
      <w:r w:rsidRPr="00AA5B69">
        <w:rPr>
          <w:rFonts w:ascii="Times New Roman" w:eastAsia="Calibri" w:hAnsi="Times New Roman" w:cs="Times New Roman"/>
          <w:sz w:val="24"/>
          <w:szCs w:val="24"/>
        </w:rPr>
        <w:t xml:space="preserve">2.0 Methods </w:t>
      </w:r>
    </w:p>
    <w:p w14:paraId="2B13BB84" w14:textId="77777777" w:rsidR="00E45BE3" w:rsidRPr="0089336D" w:rsidRDefault="00E45BE3" w:rsidP="007F1E72">
      <w:pPr>
        <w:spacing w:after="0" w:line="240" w:lineRule="auto"/>
        <w:jc w:val="both"/>
        <w:rPr>
          <w:rFonts w:ascii="Times New Roman" w:eastAsia="Calibri" w:hAnsi="Times New Roman" w:cs="Times New Roman"/>
          <w:iCs/>
          <w:sz w:val="20"/>
          <w:szCs w:val="20"/>
        </w:rPr>
      </w:pPr>
    </w:p>
    <w:p w14:paraId="51CC81E3" w14:textId="76BB1963" w:rsidR="00E130A0" w:rsidRPr="0089336D" w:rsidRDefault="00E45BE3" w:rsidP="007F1E72">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 xml:space="preserve">This </w:t>
      </w:r>
      <w:r w:rsidR="00E130A0" w:rsidRPr="0089336D">
        <w:rPr>
          <w:rFonts w:ascii="Times New Roman" w:eastAsia="Calibri" w:hAnsi="Times New Roman" w:cs="Times New Roman"/>
          <w:iCs/>
          <w:sz w:val="20"/>
          <w:szCs w:val="20"/>
        </w:rPr>
        <w:t>independent, naturalistic</w:t>
      </w:r>
      <w:r w:rsidR="00087340" w:rsidRPr="0089336D">
        <w:rPr>
          <w:rFonts w:ascii="Times New Roman" w:eastAsia="Calibri" w:hAnsi="Times New Roman" w:cs="Times New Roman"/>
          <w:iCs/>
          <w:sz w:val="20"/>
          <w:szCs w:val="20"/>
        </w:rPr>
        <w:t>, mirror image</w:t>
      </w:r>
      <w:r w:rsidR="00E130A0" w:rsidRPr="0089336D">
        <w:rPr>
          <w:rFonts w:ascii="Times New Roman" w:eastAsia="Calibri" w:hAnsi="Times New Roman" w:cs="Times New Roman"/>
          <w:iCs/>
          <w:sz w:val="20"/>
          <w:szCs w:val="20"/>
        </w:rPr>
        <w:t xml:space="preserve"> study is part of the wider West London LAI project and took place between 2011-2021 in West London N</w:t>
      </w:r>
      <w:r w:rsidR="00A3786B" w:rsidRPr="0089336D">
        <w:rPr>
          <w:rFonts w:ascii="Times New Roman" w:eastAsia="Calibri" w:hAnsi="Times New Roman" w:cs="Times New Roman"/>
          <w:iCs/>
          <w:sz w:val="20"/>
          <w:szCs w:val="20"/>
        </w:rPr>
        <w:t xml:space="preserve">ational </w:t>
      </w:r>
      <w:r w:rsidR="00E130A0" w:rsidRPr="0089336D">
        <w:rPr>
          <w:rFonts w:ascii="Times New Roman" w:eastAsia="Calibri" w:hAnsi="Times New Roman" w:cs="Times New Roman"/>
          <w:iCs/>
          <w:sz w:val="20"/>
          <w:szCs w:val="20"/>
        </w:rPr>
        <w:t>H</w:t>
      </w:r>
      <w:r w:rsidR="00A3786B" w:rsidRPr="0089336D">
        <w:rPr>
          <w:rFonts w:ascii="Times New Roman" w:eastAsia="Calibri" w:hAnsi="Times New Roman" w:cs="Times New Roman"/>
          <w:iCs/>
          <w:sz w:val="20"/>
          <w:szCs w:val="20"/>
        </w:rPr>
        <w:t xml:space="preserve">ealth </w:t>
      </w:r>
      <w:r w:rsidR="00E130A0" w:rsidRPr="0089336D">
        <w:rPr>
          <w:rFonts w:ascii="Times New Roman" w:eastAsia="Calibri" w:hAnsi="Times New Roman" w:cs="Times New Roman"/>
          <w:iCs/>
          <w:sz w:val="20"/>
          <w:szCs w:val="20"/>
        </w:rPr>
        <w:t>S</w:t>
      </w:r>
      <w:r w:rsidR="00A3786B" w:rsidRPr="0089336D">
        <w:rPr>
          <w:rFonts w:ascii="Times New Roman" w:eastAsia="Calibri" w:hAnsi="Times New Roman" w:cs="Times New Roman"/>
          <w:iCs/>
          <w:sz w:val="20"/>
          <w:szCs w:val="20"/>
        </w:rPr>
        <w:t>ervice (NHS)</w:t>
      </w:r>
      <w:r w:rsidR="00E130A0" w:rsidRPr="0089336D">
        <w:rPr>
          <w:rFonts w:ascii="Times New Roman" w:eastAsia="Calibri" w:hAnsi="Times New Roman" w:cs="Times New Roman"/>
          <w:iCs/>
          <w:sz w:val="20"/>
          <w:szCs w:val="20"/>
        </w:rPr>
        <w:t xml:space="preserve"> Trust</w:t>
      </w:r>
      <w:r w:rsidR="00A61F54">
        <w:rPr>
          <w:rFonts w:ascii="Times New Roman" w:eastAsia="Calibri" w:hAnsi="Times New Roman" w:cs="Times New Roman"/>
          <w:iCs/>
          <w:sz w:val="20"/>
          <w:szCs w:val="20"/>
        </w:rPr>
        <w:t>;</w:t>
      </w:r>
      <w:r w:rsidR="00E130A0" w:rsidRPr="0089336D">
        <w:rPr>
          <w:rFonts w:ascii="Times New Roman" w:eastAsia="Calibri" w:hAnsi="Times New Roman" w:cs="Times New Roman"/>
          <w:iCs/>
          <w:sz w:val="20"/>
          <w:szCs w:val="20"/>
        </w:rPr>
        <w:t xml:space="preserve"> a large, urban mental health provider. It was approved by the department for audit and naturalistic research (project number</w:t>
      </w:r>
      <w:r w:rsidR="0051036C" w:rsidRPr="0089336D">
        <w:rPr>
          <w:rFonts w:ascii="Times New Roman" w:eastAsia="Calibri" w:hAnsi="Times New Roman" w:cs="Times New Roman"/>
          <w:iCs/>
          <w:sz w:val="20"/>
          <w:szCs w:val="20"/>
        </w:rPr>
        <w:t xml:space="preserve"> 1295</w:t>
      </w:r>
      <w:r w:rsidR="00E130A0" w:rsidRPr="0089336D">
        <w:rPr>
          <w:rFonts w:ascii="Times New Roman" w:eastAsia="Calibri" w:hAnsi="Times New Roman" w:cs="Times New Roman"/>
          <w:iCs/>
          <w:sz w:val="20"/>
          <w:szCs w:val="20"/>
        </w:rPr>
        <w:t>)</w:t>
      </w:r>
      <w:r w:rsidR="007F68CA" w:rsidRPr="0089336D">
        <w:rPr>
          <w:rFonts w:ascii="Times New Roman" w:eastAsia="Calibri" w:hAnsi="Times New Roman" w:cs="Times New Roman"/>
          <w:iCs/>
          <w:sz w:val="20"/>
          <w:szCs w:val="20"/>
        </w:rPr>
        <w:t xml:space="preserve">; as such ethics approval and individual written informed patient consent </w:t>
      </w:r>
      <w:r w:rsidR="00A61F54">
        <w:rPr>
          <w:rFonts w:ascii="Times New Roman" w:eastAsia="Calibri" w:hAnsi="Times New Roman" w:cs="Times New Roman"/>
          <w:iCs/>
          <w:sz w:val="20"/>
          <w:szCs w:val="20"/>
        </w:rPr>
        <w:t>were</w:t>
      </w:r>
      <w:r w:rsidR="00A61F54" w:rsidRPr="0089336D">
        <w:rPr>
          <w:rFonts w:ascii="Times New Roman" w:eastAsia="Calibri" w:hAnsi="Times New Roman" w:cs="Times New Roman"/>
          <w:iCs/>
          <w:sz w:val="20"/>
          <w:szCs w:val="20"/>
        </w:rPr>
        <w:t xml:space="preserve"> </w:t>
      </w:r>
      <w:r w:rsidR="007F68CA" w:rsidRPr="0089336D">
        <w:rPr>
          <w:rFonts w:ascii="Times New Roman" w:eastAsia="Calibri" w:hAnsi="Times New Roman" w:cs="Times New Roman"/>
          <w:iCs/>
          <w:sz w:val="20"/>
          <w:szCs w:val="20"/>
        </w:rPr>
        <w:t xml:space="preserve">not required. </w:t>
      </w:r>
    </w:p>
    <w:p w14:paraId="2D9FCEDD" w14:textId="77777777" w:rsidR="00E130A0" w:rsidRPr="0089336D" w:rsidRDefault="00E130A0" w:rsidP="007F1E72">
      <w:pPr>
        <w:spacing w:after="0" w:line="240" w:lineRule="auto"/>
        <w:jc w:val="both"/>
        <w:rPr>
          <w:rFonts w:ascii="Times New Roman" w:eastAsia="Calibri" w:hAnsi="Times New Roman" w:cs="Times New Roman"/>
          <w:iCs/>
          <w:sz w:val="20"/>
          <w:szCs w:val="20"/>
        </w:rPr>
      </w:pPr>
    </w:p>
    <w:p w14:paraId="7F617DD7" w14:textId="7EF8274A" w:rsidR="000A5C94" w:rsidRPr="0089336D" w:rsidRDefault="005A5FD2" w:rsidP="000A5C94">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This study has a</w:t>
      </w:r>
      <w:r w:rsidR="0046046C" w:rsidRPr="0089336D">
        <w:rPr>
          <w:rFonts w:ascii="Times New Roman" w:eastAsia="Calibri" w:hAnsi="Times New Roman" w:cs="Times New Roman"/>
          <w:iCs/>
          <w:sz w:val="20"/>
          <w:szCs w:val="20"/>
        </w:rPr>
        <w:t xml:space="preserve"> five year pre-</w:t>
      </w:r>
      <w:r w:rsidR="006C0235" w:rsidRPr="0089336D">
        <w:rPr>
          <w:rFonts w:ascii="Times New Roman" w:eastAsia="Calibri" w:hAnsi="Times New Roman" w:cs="Times New Roman"/>
          <w:iCs/>
          <w:sz w:val="20"/>
          <w:szCs w:val="20"/>
        </w:rPr>
        <w:t>PP</w:t>
      </w:r>
      <w:r w:rsidR="00784A3F">
        <w:rPr>
          <w:rFonts w:ascii="Times New Roman" w:eastAsia="Calibri" w:hAnsi="Times New Roman" w:cs="Times New Roman"/>
          <w:iCs/>
          <w:sz w:val="20"/>
          <w:szCs w:val="20"/>
        </w:rPr>
        <w:t>1M</w:t>
      </w:r>
      <w:r w:rsidR="007E02C8" w:rsidRPr="0089336D">
        <w:rPr>
          <w:rFonts w:ascii="Times New Roman" w:eastAsia="Calibri" w:hAnsi="Times New Roman" w:cs="Times New Roman"/>
          <w:iCs/>
          <w:sz w:val="20"/>
          <w:szCs w:val="20"/>
        </w:rPr>
        <w:t xml:space="preserve"> </w:t>
      </w:r>
      <w:r w:rsidR="006C0235" w:rsidRPr="0089336D">
        <w:rPr>
          <w:rFonts w:ascii="Times New Roman" w:eastAsia="Calibri" w:hAnsi="Times New Roman" w:cs="Times New Roman"/>
          <w:iCs/>
          <w:sz w:val="20"/>
          <w:szCs w:val="20"/>
        </w:rPr>
        <w:t>initi</w:t>
      </w:r>
      <w:r w:rsidR="0046046C" w:rsidRPr="0089336D">
        <w:rPr>
          <w:rFonts w:ascii="Times New Roman" w:eastAsia="Calibri" w:hAnsi="Times New Roman" w:cs="Times New Roman"/>
          <w:iCs/>
          <w:sz w:val="20"/>
          <w:szCs w:val="20"/>
        </w:rPr>
        <w:t>ation and a five year post</w:t>
      </w:r>
      <w:r w:rsidR="005476FD" w:rsidRPr="0089336D">
        <w:rPr>
          <w:rFonts w:ascii="Times New Roman" w:eastAsia="Calibri" w:hAnsi="Times New Roman" w:cs="Times New Roman"/>
          <w:iCs/>
          <w:sz w:val="20"/>
          <w:szCs w:val="20"/>
        </w:rPr>
        <w:t>-</w:t>
      </w:r>
      <w:r w:rsidR="0046046C" w:rsidRPr="0089336D">
        <w:rPr>
          <w:rFonts w:ascii="Times New Roman" w:eastAsia="Calibri" w:hAnsi="Times New Roman" w:cs="Times New Roman"/>
          <w:iCs/>
          <w:sz w:val="20"/>
          <w:szCs w:val="20"/>
        </w:rPr>
        <w:t>PP</w:t>
      </w:r>
      <w:r w:rsidR="00784A3F">
        <w:rPr>
          <w:rFonts w:ascii="Times New Roman" w:eastAsia="Calibri" w:hAnsi="Times New Roman" w:cs="Times New Roman"/>
          <w:iCs/>
          <w:sz w:val="20"/>
          <w:szCs w:val="20"/>
        </w:rPr>
        <w:t>1M</w:t>
      </w:r>
      <w:r w:rsidR="0046046C" w:rsidRPr="0089336D">
        <w:rPr>
          <w:rFonts w:ascii="Times New Roman" w:eastAsia="Calibri" w:hAnsi="Times New Roman" w:cs="Times New Roman"/>
          <w:iCs/>
          <w:sz w:val="20"/>
          <w:szCs w:val="20"/>
        </w:rPr>
        <w:t xml:space="preserve"> initiation observation period. </w:t>
      </w:r>
      <w:r w:rsidR="00465574" w:rsidRPr="0089336D">
        <w:rPr>
          <w:rFonts w:ascii="Times New Roman" w:eastAsia="Calibri" w:hAnsi="Times New Roman" w:cs="Times New Roman"/>
          <w:iCs/>
          <w:sz w:val="20"/>
          <w:szCs w:val="20"/>
        </w:rPr>
        <w:t xml:space="preserve">The study cohort was formed of </w:t>
      </w:r>
      <w:r w:rsidR="006C0235" w:rsidRPr="0089336D">
        <w:rPr>
          <w:rFonts w:ascii="Times New Roman" w:eastAsia="Calibri" w:hAnsi="Times New Roman" w:cs="Times New Roman"/>
          <w:iCs/>
          <w:sz w:val="20"/>
          <w:szCs w:val="20"/>
        </w:rPr>
        <w:t xml:space="preserve">all </w:t>
      </w:r>
      <w:r w:rsidR="00704E9A" w:rsidRPr="0089336D">
        <w:rPr>
          <w:rFonts w:ascii="Times New Roman" w:eastAsia="Calibri" w:hAnsi="Times New Roman" w:cs="Times New Roman"/>
          <w:iCs/>
          <w:sz w:val="20"/>
          <w:szCs w:val="20"/>
        </w:rPr>
        <w:t xml:space="preserve">eligible consecutive </w:t>
      </w:r>
      <w:r w:rsidR="00465574" w:rsidRPr="0089336D">
        <w:rPr>
          <w:rFonts w:ascii="Times New Roman" w:eastAsia="Calibri" w:hAnsi="Times New Roman" w:cs="Times New Roman"/>
          <w:iCs/>
          <w:sz w:val="20"/>
          <w:szCs w:val="20"/>
        </w:rPr>
        <w:t xml:space="preserve">patients who were initiated on PP1M between 2011-2015 allowing for 5-year post initiation follow up of all patients. </w:t>
      </w:r>
      <w:r w:rsidR="00704E9A" w:rsidRPr="0089336D">
        <w:rPr>
          <w:rFonts w:ascii="Times New Roman" w:eastAsia="Calibri" w:hAnsi="Times New Roman" w:cs="Times New Roman"/>
          <w:iCs/>
          <w:sz w:val="20"/>
          <w:szCs w:val="20"/>
        </w:rPr>
        <w:t>Eligibility criteria were as follows: 1) adult patients (&gt;18 y</w:t>
      </w:r>
      <w:r w:rsidR="0089336D">
        <w:rPr>
          <w:rFonts w:ascii="Times New Roman" w:eastAsia="Calibri" w:hAnsi="Times New Roman" w:cs="Times New Roman"/>
          <w:iCs/>
          <w:sz w:val="20"/>
          <w:szCs w:val="20"/>
        </w:rPr>
        <w:t xml:space="preserve">ears) 2) with any diagnoses 3) </w:t>
      </w:r>
      <w:r w:rsidR="006C0235" w:rsidRPr="0089336D">
        <w:rPr>
          <w:rFonts w:ascii="Times New Roman" w:eastAsia="Calibri" w:hAnsi="Times New Roman" w:cs="Times New Roman"/>
          <w:iCs/>
          <w:sz w:val="20"/>
          <w:szCs w:val="20"/>
        </w:rPr>
        <w:t xml:space="preserve">newly commenced on PP1M in this time period </w:t>
      </w:r>
      <w:r w:rsidR="00704E9A" w:rsidRPr="0089336D">
        <w:rPr>
          <w:rFonts w:ascii="Times New Roman" w:eastAsia="Calibri" w:hAnsi="Times New Roman" w:cs="Times New Roman"/>
          <w:iCs/>
          <w:sz w:val="20"/>
          <w:szCs w:val="20"/>
        </w:rPr>
        <w:t xml:space="preserve">and 4) </w:t>
      </w:r>
      <w:r w:rsidR="003F743B" w:rsidRPr="0089336D">
        <w:rPr>
          <w:rFonts w:ascii="Times New Roman" w:eastAsia="Calibri" w:hAnsi="Times New Roman" w:cs="Times New Roman"/>
          <w:iCs/>
          <w:sz w:val="20"/>
          <w:szCs w:val="20"/>
        </w:rPr>
        <w:t xml:space="preserve">full </w:t>
      </w:r>
      <w:r w:rsidR="006C0235" w:rsidRPr="0089336D">
        <w:rPr>
          <w:rFonts w:ascii="Times New Roman" w:eastAsia="Calibri" w:hAnsi="Times New Roman" w:cs="Times New Roman"/>
          <w:iCs/>
          <w:sz w:val="20"/>
          <w:szCs w:val="20"/>
        </w:rPr>
        <w:t xml:space="preserve">hospitalisation records </w:t>
      </w:r>
      <w:r w:rsidR="003F743B" w:rsidRPr="0089336D">
        <w:rPr>
          <w:rFonts w:ascii="Times New Roman" w:eastAsia="Calibri" w:hAnsi="Times New Roman" w:cs="Times New Roman"/>
          <w:iCs/>
          <w:sz w:val="20"/>
          <w:szCs w:val="20"/>
        </w:rPr>
        <w:t xml:space="preserve">covering the study period. </w:t>
      </w:r>
      <w:r w:rsidR="00345D25" w:rsidRPr="0089336D">
        <w:rPr>
          <w:rFonts w:ascii="Times New Roman" w:eastAsia="Calibri" w:hAnsi="Times New Roman" w:cs="Times New Roman"/>
          <w:iCs/>
          <w:sz w:val="20"/>
          <w:szCs w:val="20"/>
        </w:rPr>
        <w:t xml:space="preserve"> </w:t>
      </w:r>
      <w:r w:rsidR="009F3822" w:rsidRPr="0089336D">
        <w:rPr>
          <w:rFonts w:ascii="Times New Roman" w:eastAsia="Calibri" w:hAnsi="Times New Roman" w:cs="Times New Roman"/>
          <w:iCs/>
          <w:sz w:val="20"/>
          <w:szCs w:val="20"/>
        </w:rPr>
        <w:t xml:space="preserve"> </w:t>
      </w:r>
      <w:r w:rsidR="00EF4B16" w:rsidRPr="0089336D">
        <w:rPr>
          <w:rFonts w:ascii="Times New Roman" w:eastAsia="Calibri" w:hAnsi="Times New Roman" w:cs="Times New Roman"/>
          <w:iCs/>
          <w:sz w:val="20"/>
          <w:szCs w:val="20"/>
        </w:rPr>
        <w:t xml:space="preserve">PP1M initiation was subject to </w:t>
      </w:r>
      <w:r w:rsidR="00AF5F31" w:rsidRPr="0089336D">
        <w:rPr>
          <w:rFonts w:ascii="Times New Roman" w:eastAsia="Calibri" w:hAnsi="Times New Roman" w:cs="Times New Roman"/>
          <w:iCs/>
          <w:sz w:val="20"/>
          <w:szCs w:val="20"/>
        </w:rPr>
        <w:t xml:space="preserve">independent </w:t>
      </w:r>
      <w:r w:rsidR="00EF4B16" w:rsidRPr="0089336D">
        <w:rPr>
          <w:rFonts w:ascii="Times New Roman" w:eastAsia="Calibri" w:hAnsi="Times New Roman" w:cs="Times New Roman"/>
          <w:iCs/>
          <w:sz w:val="20"/>
          <w:szCs w:val="20"/>
        </w:rPr>
        <w:t xml:space="preserve">clinical </w:t>
      </w:r>
      <w:r w:rsidR="00AF5F31" w:rsidRPr="0089336D">
        <w:rPr>
          <w:rFonts w:ascii="Times New Roman" w:eastAsia="Calibri" w:hAnsi="Times New Roman" w:cs="Times New Roman"/>
          <w:iCs/>
          <w:sz w:val="20"/>
          <w:szCs w:val="20"/>
        </w:rPr>
        <w:t xml:space="preserve">prescribing decision and standard of care was unaffected. </w:t>
      </w:r>
      <w:r w:rsidR="00465574" w:rsidRPr="0089336D">
        <w:rPr>
          <w:rFonts w:ascii="Times New Roman" w:eastAsia="Calibri" w:hAnsi="Times New Roman" w:cs="Times New Roman"/>
          <w:iCs/>
          <w:sz w:val="20"/>
          <w:szCs w:val="20"/>
        </w:rPr>
        <w:t>Exclusion criteria included</w:t>
      </w:r>
      <w:r w:rsidR="000A5C94" w:rsidRPr="0089336D">
        <w:rPr>
          <w:rFonts w:ascii="Times New Roman" w:eastAsia="Calibri" w:hAnsi="Times New Roman" w:cs="Times New Roman"/>
          <w:iCs/>
          <w:sz w:val="20"/>
          <w:szCs w:val="20"/>
        </w:rPr>
        <w:t>:</w:t>
      </w:r>
      <w:r w:rsidR="00465574" w:rsidRPr="0089336D">
        <w:rPr>
          <w:rFonts w:ascii="Times New Roman" w:eastAsia="Calibri" w:hAnsi="Times New Roman" w:cs="Times New Roman"/>
          <w:iCs/>
          <w:sz w:val="20"/>
          <w:szCs w:val="20"/>
        </w:rPr>
        <w:t xml:space="preserve"> </w:t>
      </w:r>
      <w:r w:rsidR="000A5C94" w:rsidRPr="0089336D">
        <w:rPr>
          <w:rFonts w:ascii="Times New Roman" w:eastAsia="Calibri" w:hAnsi="Times New Roman" w:cs="Times New Roman"/>
          <w:iCs/>
          <w:sz w:val="20"/>
          <w:szCs w:val="20"/>
        </w:rPr>
        <w:t xml:space="preserve">1) </w:t>
      </w:r>
      <w:r w:rsidR="0046046C" w:rsidRPr="0089336D">
        <w:rPr>
          <w:rFonts w:ascii="Times New Roman" w:eastAsia="Calibri" w:hAnsi="Times New Roman" w:cs="Times New Roman"/>
          <w:iCs/>
          <w:sz w:val="20"/>
          <w:szCs w:val="20"/>
        </w:rPr>
        <w:t xml:space="preserve">patients </w:t>
      </w:r>
      <w:r w:rsidR="000A5C94" w:rsidRPr="0089336D">
        <w:rPr>
          <w:rFonts w:ascii="Times New Roman" w:eastAsia="Calibri" w:hAnsi="Times New Roman" w:cs="Times New Roman"/>
          <w:iCs/>
          <w:sz w:val="20"/>
          <w:szCs w:val="20"/>
        </w:rPr>
        <w:t xml:space="preserve">who were initiated during a forensic or rehabilitation admission as they have typically longer admissions 2) in the event of death and 3) </w:t>
      </w:r>
      <w:r w:rsidR="00465574" w:rsidRPr="0089336D">
        <w:rPr>
          <w:rFonts w:ascii="Times New Roman" w:eastAsia="Calibri" w:hAnsi="Times New Roman" w:cs="Times New Roman"/>
          <w:iCs/>
          <w:sz w:val="20"/>
          <w:szCs w:val="20"/>
        </w:rPr>
        <w:t>patients with incomplete data</w:t>
      </w:r>
      <w:r w:rsidR="000A5C94" w:rsidRPr="0089336D">
        <w:rPr>
          <w:rFonts w:ascii="Times New Roman" w:eastAsia="Calibri" w:hAnsi="Times New Roman" w:cs="Times New Roman"/>
          <w:iCs/>
          <w:sz w:val="20"/>
          <w:szCs w:val="20"/>
        </w:rPr>
        <w:t xml:space="preserve"> during the study period either because they had not been  registered as being treated in our trust five years prior to starting PP</w:t>
      </w:r>
      <w:r w:rsidR="004858CA">
        <w:rPr>
          <w:rFonts w:ascii="Times New Roman" w:eastAsia="Calibri" w:hAnsi="Times New Roman" w:cs="Times New Roman"/>
          <w:iCs/>
          <w:sz w:val="20"/>
          <w:szCs w:val="20"/>
        </w:rPr>
        <w:t>1M</w:t>
      </w:r>
      <w:r w:rsidR="000A5C94" w:rsidRPr="0089336D">
        <w:rPr>
          <w:rFonts w:ascii="Times New Roman" w:eastAsia="Calibri" w:hAnsi="Times New Roman" w:cs="Times New Roman"/>
          <w:iCs/>
          <w:sz w:val="20"/>
          <w:szCs w:val="20"/>
        </w:rPr>
        <w:t xml:space="preserve">, or because they </w:t>
      </w:r>
      <w:r w:rsidR="0046046C" w:rsidRPr="0089336D">
        <w:rPr>
          <w:rFonts w:ascii="Times New Roman" w:eastAsia="Calibri" w:hAnsi="Times New Roman" w:cs="Times New Roman"/>
          <w:iCs/>
          <w:sz w:val="20"/>
          <w:szCs w:val="20"/>
        </w:rPr>
        <w:t xml:space="preserve">had moved out of the area and/or were transferred </w:t>
      </w:r>
      <w:r w:rsidR="000A5C94" w:rsidRPr="0089336D">
        <w:rPr>
          <w:rFonts w:ascii="Times New Roman" w:eastAsia="Calibri" w:hAnsi="Times New Roman" w:cs="Times New Roman"/>
          <w:iCs/>
          <w:sz w:val="20"/>
          <w:szCs w:val="20"/>
        </w:rPr>
        <w:t>from the trust in the five years following PP</w:t>
      </w:r>
      <w:r w:rsidR="004858CA">
        <w:rPr>
          <w:rFonts w:ascii="Times New Roman" w:eastAsia="Calibri" w:hAnsi="Times New Roman" w:cs="Times New Roman"/>
          <w:iCs/>
          <w:sz w:val="20"/>
          <w:szCs w:val="20"/>
        </w:rPr>
        <w:t>1M</w:t>
      </w:r>
      <w:r w:rsidR="000A5C94" w:rsidRPr="0089336D">
        <w:rPr>
          <w:rFonts w:ascii="Times New Roman" w:eastAsia="Calibri" w:hAnsi="Times New Roman" w:cs="Times New Roman"/>
          <w:iCs/>
          <w:sz w:val="20"/>
          <w:szCs w:val="20"/>
        </w:rPr>
        <w:t xml:space="preserve"> initiation (‘lost to follow up’), as we were unable to </w:t>
      </w:r>
      <w:r w:rsidR="0046046C" w:rsidRPr="0089336D">
        <w:rPr>
          <w:rFonts w:ascii="Times New Roman" w:eastAsia="Calibri" w:hAnsi="Times New Roman" w:cs="Times New Roman"/>
          <w:iCs/>
          <w:sz w:val="20"/>
          <w:szCs w:val="20"/>
        </w:rPr>
        <w:t xml:space="preserve">establish continuation of treatment and </w:t>
      </w:r>
      <w:r w:rsidR="000A5C94" w:rsidRPr="0089336D">
        <w:rPr>
          <w:rFonts w:ascii="Times New Roman" w:eastAsia="Calibri" w:hAnsi="Times New Roman" w:cs="Times New Roman"/>
          <w:iCs/>
          <w:sz w:val="20"/>
          <w:szCs w:val="20"/>
        </w:rPr>
        <w:t>collect their full hospitalisation data.</w:t>
      </w:r>
      <w:r w:rsidR="0046046C" w:rsidRPr="0089336D">
        <w:rPr>
          <w:rFonts w:ascii="Times New Roman" w:eastAsia="Calibri" w:hAnsi="Times New Roman" w:cs="Times New Roman"/>
          <w:iCs/>
          <w:sz w:val="20"/>
          <w:szCs w:val="20"/>
        </w:rPr>
        <w:t xml:space="preserve"> </w:t>
      </w:r>
    </w:p>
    <w:p w14:paraId="0F0C193C" w14:textId="57640E67" w:rsidR="00AF5F31" w:rsidRPr="0089336D" w:rsidRDefault="00465574" w:rsidP="007F1E72">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 xml:space="preserve"> </w:t>
      </w:r>
    </w:p>
    <w:p w14:paraId="173E0141" w14:textId="31E9D3BF" w:rsidR="00AF5F31" w:rsidRDefault="00465574" w:rsidP="007F1E72">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The electronic clinical records system provided demographical and clinical information, on primary diagnosis</w:t>
      </w:r>
      <w:r w:rsidR="00D3185C" w:rsidRPr="0089336D">
        <w:rPr>
          <w:rFonts w:ascii="Times New Roman" w:eastAsia="Calibri" w:hAnsi="Times New Roman" w:cs="Times New Roman"/>
          <w:iCs/>
          <w:sz w:val="20"/>
          <w:szCs w:val="20"/>
        </w:rPr>
        <w:t xml:space="preserve"> (using</w:t>
      </w:r>
      <w:r w:rsidR="00A960BC" w:rsidRPr="0089336D">
        <w:rPr>
          <w:rFonts w:ascii="Times New Roman" w:eastAsia="Calibri" w:hAnsi="Times New Roman" w:cs="Times New Roman"/>
          <w:iCs/>
          <w:sz w:val="20"/>
          <w:szCs w:val="20"/>
        </w:rPr>
        <w:t xml:space="preserve"> I</w:t>
      </w:r>
      <w:r w:rsidR="005476FD" w:rsidRPr="0089336D">
        <w:rPr>
          <w:rFonts w:ascii="Times New Roman" w:eastAsia="Calibri" w:hAnsi="Times New Roman" w:cs="Times New Roman"/>
          <w:iCs/>
          <w:sz w:val="20"/>
          <w:szCs w:val="20"/>
        </w:rPr>
        <w:t>nternational Classification of Diseases 10</w:t>
      </w:r>
      <w:r w:rsidR="005476FD" w:rsidRPr="0089336D">
        <w:rPr>
          <w:rFonts w:ascii="Times New Roman" w:eastAsia="Calibri" w:hAnsi="Times New Roman" w:cs="Times New Roman"/>
          <w:iCs/>
          <w:sz w:val="20"/>
          <w:szCs w:val="20"/>
          <w:vertAlign w:val="superscript"/>
        </w:rPr>
        <w:t>th</w:t>
      </w:r>
      <w:r w:rsidR="005476FD" w:rsidRPr="0089336D">
        <w:rPr>
          <w:rFonts w:ascii="Times New Roman" w:eastAsia="Calibri" w:hAnsi="Times New Roman" w:cs="Times New Roman"/>
          <w:iCs/>
          <w:sz w:val="20"/>
          <w:szCs w:val="20"/>
        </w:rPr>
        <w:t xml:space="preserve"> </w:t>
      </w:r>
      <w:r w:rsidR="0089336D">
        <w:rPr>
          <w:rFonts w:ascii="Times New Roman" w:eastAsia="Calibri" w:hAnsi="Times New Roman" w:cs="Times New Roman"/>
          <w:iCs/>
          <w:sz w:val="20"/>
          <w:szCs w:val="20"/>
        </w:rPr>
        <w:t xml:space="preserve">revision </w:t>
      </w:r>
      <w:r w:rsidR="0046046C" w:rsidRPr="0089336D">
        <w:rPr>
          <w:rFonts w:ascii="Times New Roman" w:eastAsia="Calibri" w:hAnsi="Times New Roman" w:cs="Times New Roman"/>
          <w:iCs/>
          <w:sz w:val="20"/>
          <w:szCs w:val="20"/>
        </w:rPr>
        <w:t>coding)</w:t>
      </w:r>
      <w:r w:rsidRPr="0089336D">
        <w:rPr>
          <w:rFonts w:ascii="Times New Roman" w:eastAsia="Calibri" w:hAnsi="Times New Roman" w:cs="Times New Roman"/>
          <w:iCs/>
          <w:sz w:val="20"/>
          <w:szCs w:val="20"/>
        </w:rPr>
        <w:t>, concurrent substance misuse, number and length of hospital admissions, antipsychotic used immediately prior to PP1M, reason for switching medication as well as discontinuation rates and reasons.</w:t>
      </w:r>
      <w:r w:rsidR="00AF5F31" w:rsidRPr="0089336D">
        <w:rPr>
          <w:rFonts w:ascii="Times New Roman" w:eastAsia="Calibri" w:hAnsi="Times New Roman" w:cs="Times New Roman"/>
          <w:iCs/>
          <w:sz w:val="20"/>
          <w:szCs w:val="20"/>
        </w:rPr>
        <w:t xml:space="preserve"> </w:t>
      </w:r>
      <w:r w:rsidR="000A5C94" w:rsidRPr="0089336D">
        <w:rPr>
          <w:rFonts w:ascii="Times New Roman" w:eastAsia="Calibri" w:hAnsi="Times New Roman" w:cs="Times New Roman"/>
          <w:iCs/>
          <w:sz w:val="20"/>
          <w:szCs w:val="20"/>
        </w:rPr>
        <w:t>For t</w:t>
      </w:r>
      <w:r w:rsidR="00AF5F31" w:rsidRPr="0089336D">
        <w:rPr>
          <w:rFonts w:ascii="Times New Roman" w:eastAsia="Calibri" w:hAnsi="Times New Roman" w:cs="Times New Roman"/>
          <w:iCs/>
          <w:sz w:val="20"/>
          <w:szCs w:val="20"/>
        </w:rPr>
        <w:t>hose patients who completed a minimum of 5 years of PP1M treatment</w:t>
      </w:r>
      <w:r w:rsidR="000A5C94" w:rsidRPr="0089336D">
        <w:rPr>
          <w:rFonts w:ascii="Times New Roman" w:eastAsia="Calibri" w:hAnsi="Times New Roman" w:cs="Times New Roman"/>
          <w:iCs/>
          <w:sz w:val="20"/>
          <w:szCs w:val="20"/>
        </w:rPr>
        <w:t xml:space="preserve"> </w:t>
      </w:r>
      <w:r w:rsidR="00EB3117" w:rsidRPr="0089336D">
        <w:rPr>
          <w:rFonts w:ascii="Times New Roman" w:eastAsia="Calibri" w:hAnsi="Times New Roman" w:cs="Times New Roman"/>
          <w:iCs/>
          <w:sz w:val="20"/>
          <w:szCs w:val="20"/>
        </w:rPr>
        <w:t>(continuers</w:t>
      </w:r>
      <w:r w:rsidR="000A5C94" w:rsidRPr="0089336D">
        <w:rPr>
          <w:rFonts w:ascii="Times New Roman" w:eastAsia="Calibri" w:hAnsi="Times New Roman" w:cs="Times New Roman"/>
          <w:iCs/>
          <w:sz w:val="20"/>
          <w:szCs w:val="20"/>
        </w:rPr>
        <w:t>) and for those who discontinued during this period of time (discontinuers)</w:t>
      </w:r>
      <w:r w:rsidR="00AF5F31" w:rsidRPr="0089336D">
        <w:rPr>
          <w:rFonts w:ascii="Times New Roman" w:eastAsia="Calibri" w:hAnsi="Times New Roman" w:cs="Times New Roman"/>
          <w:iCs/>
          <w:sz w:val="20"/>
          <w:szCs w:val="20"/>
        </w:rPr>
        <w:t>, the number of hospital admissions and bed days before and after initiation of PP1M were compared using a mirror image design over a 10-year period, as also previously described</w:t>
      </w:r>
      <w:r w:rsidR="00692265" w:rsidRPr="0089336D">
        <w:rPr>
          <w:rFonts w:ascii="Times New Roman" w:eastAsia="Calibri" w:hAnsi="Times New Roman" w:cs="Times New Roman"/>
          <w:iCs/>
          <w:sz w:val="20"/>
          <w:szCs w:val="20"/>
        </w:rPr>
        <w:t xml:space="preserve"> </w:t>
      </w:r>
      <w:r w:rsidR="00692265" w:rsidRPr="0089336D" w:rsidDel="00345D25">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1</w:t>
      </w:r>
      <w:r w:rsidR="00692265" w:rsidRPr="0089336D" w:rsidDel="00345D25">
        <w:rPr>
          <w:rFonts w:ascii="Times New Roman" w:eastAsia="Calibri" w:hAnsi="Times New Roman" w:cs="Times New Roman"/>
          <w:iCs/>
          <w:sz w:val="20"/>
          <w:szCs w:val="20"/>
        </w:rPr>
        <w:t>]</w:t>
      </w:r>
      <w:r w:rsidR="006C0235" w:rsidRPr="0089336D">
        <w:rPr>
          <w:rFonts w:ascii="Times New Roman" w:eastAsia="Calibri" w:hAnsi="Times New Roman" w:cs="Times New Roman"/>
          <w:iCs/>
          <w:sz w:val="20"/>
          <w:szCs w:val="20"/>
        </w:rPr>
        <w:t>.</w:t>
      </w:r>
    </w:p>
    <w:p w14:paraId="68E2A04B" w14:textId="00A4B66F" w:rsidR="00784A3F" w:rsidRDefault="00784A3F" w:rsidP="007F1E72">
      <w:pPr>
        <w:spacing w:after="0" w:line="240" w:lineRule="auto"/>
        <w:jc w:val="both"/>
        <w:rPr>
          <w:rFonts w:ascii="Times New Roman" w:eastAsia="Calibri" w:hAnsi="Times New Roman" w:cs="Times New Roman"/>
          <w:iCs/>
          <w:sz w:val="20"/>
          <w:szCs w:val="20"/>
        </w:rPr>
      </w:pPr>
    </w:p>
    <w:p w14:paraId="49F7681C" w14:textId="5941254F" w:rsidR="00784A3F" w:rsidRDefault="00784A3F" w:rsidP="007F1E72">
      <w:pPr>
        <w:spacing w:after="0" w:line="240" w:lineRule="auto"/>
        <w:jc w:val="both"/>
        <w:rPr>
          <w:rFonts w:ascii="Times New Roman" w:eastAsia="Calibri" w:hAnsi="Times New Roman" w:cs="Times New Roman"/>
          <w:iCs/>
          <w:sz w:val="20"/>
          <w:szCs w:val="20"/>
        </w:rPr>
      </w:pPr>
    </w:p>
    <w:p w14:paraId="334122BD" w14:textId="6E78EB10" w:rsidR="00784A3F" w:rsidRDefault="00784A3F" w:rsidP="007F1E72">
      <w:pPr>
        <w:spacing w:after="0" w:line="240" w:lineRule="auto"/>
        <w:jc w:val="both"/>
        <w:rPr>
          <w:rFonts w:ascii="Times New Roman" w:eastAsia="Calibri" w:hAnsi="Times New Roman" w:cs="Times New Roman"/>
          <w:iCs/>
          <w:sz w:val="20"/>
          <w:szCs w:val="20"/>
        </w:rPr>
      </w:pPr>
    </w:p>
    <w:p w14:paraId="2FDEC671" w14:textId="77777777" w:rsidR="0089336D" w:rsidRPr="0089336D" w:rsidRDefault="0089336D" w:rsidP="007F1E72">
      <w:pPr>
        <w:spacing w:after="0" w:line="240" w:lineRule="auto"/>
        <w:jc w:val="both"/>
        <w:rPr>
          <w:rFonts w:ascii="Times New Roman" w:eastAsia="Calibri" w:hAnsi="Times New Roman" w:cs="Times New Roman"/>
          <w:iCs/>
          <w:sz w:val="20"/>
          <w:szCs w:val="20"/>
        </w:rPr>
      </w:pPr>
    </w:p>
    <w:p w14:paraId="293603AB" w14:textId="10D886F2" w:rsidR="00E45BE3" w:rsidRPr="0089336D" w:rsidRDefault="00E45BE3" w:rsidP="007F1E72">
      <w:pPr>
        <w:spacing w:after="0" w:line="240" w:lineRule="auto"/>
        <w:jc w:val="both"/>
        <w:rPr>
          <w:rFonts w:ascii="Times New Roman" w:eastAsia="Calibri" w:hAnsi="Times New Roman" w:cs="Times New Roman"/>
          <w:iCs/>
          <w:sz w:val="20"/>
          <w:szCs w:val="20"/>
        </w:rPr>
      </w:pPr>
    </w:p>
    <w:p w14:paraId="08E7FA63" w14:textId="18EFD501" w:rsidR="00DA1947" w:rsidRPr="0089336D" w:rsidRDefault="00DA1947" w:rsidP="00734987">
      <w:pPr>
        <w:pStyle w:val="Heading2"/>
        <w:spacing w:line="240" w:lineRule="auto"/>
        <w:jc w:val="both"/>
        <w:rPr>
          <w:rFonts w:ascii="Times New Roman" w:eastAsia="Calibri" w:hAnsi="Times New Roman" w:cs="Times New Roman"/>
          <w:sz w:val="20"/>
          <w:szCs w:val="20"/>
        </w:rPr>
      </w:pPr>
      <w:r w:rsidRPr="0089336D">
        <w:rPr>
          <w:rFonts w:ascii="Times New Roman" w:eastAsia="Calibri" w:hAnsi="Times New Roman" w:cs="Times New Roman"/>
          <w:sz w:val="20"/>
          <w:szCs w:val="20"/>
        </w:rPr>
        <w:lastRenderedPageBreak/>
        <w:t xml:space="preserve">2.1 Statistical Analysis </w:t>
      </w:r>
    </w:p>
    <w:p w14:paraId="43CB51D8" w14:textId="77777777" w:rsidR="00734987" w:rsidRPr="0089336D" w:rsidRDefault="00734987" w:rsidP="00734987">
      <w:pPr>
        <w:rPr>
          <w:rFonts w:ascii="Times New Roman" w:hAnsi="Times New Roman" w:cs="Times New Roman"/>
          <w:sz w:val="20"/>
          <w:szCs w:val="20"/>
        </w:rPr>
      </w:pPr>
    </w:p>
    <w:p w14:paraId="7DC5DB1D" w14:textId="67E7480C" w:rsidR="00CD7A77" w:rsidRPr="0089336D" w:rsidRDefault="00E45BE3" w:rsidP="0089336D">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Descriptive statistics were used to summarize demogra</w:t>
      </w:r>
      <w:r w:rsidR="00F85BAC" w:rsidRPr="0089336D">
        <w:rPr>
          <w:rFonts w:ascii="Times New Roman" w:eastAsia="Calibri" w:hAnsi="Times New Roman" w:cs="Times New Roman"/>
          <w:iCs/>
          <w:sz w:val="20"/>
          <w:szCs w:val="20"/>
        </w:rPr>
        <w:t xml:space="preserve">phical, </w:t>
      </w:r>
      <w:r w:rsidRPr="0089336D">
        <w:rPr>
          <w:rFonts w:ascii="Times New Roman" w:eastAsia="Calibri" w:hAnsi="Times New Roman" w:cs="Times New Roman"/>
          <w:iCs/>
          <w:sz w:val="20"/>
          <w:szCs w:val="20"/>
        </w:rPr>
        <w:t>diagnostic</w:t>
      </w:r>
      <w:r w:rsidR="00F85BAC" w:rsidRPr="0089336D">
        <w:rPr>
          <w:rFonts w:ascii="Times New Roman" w:eastAsia="Calibri" w:hAnsi="Times New Roman" w:cs="Times New Roman"/>
          <w:iCs/>
          <w:sz w:val="20"/>
          <w:szCs w:val="20"/>
        </w:rPr>
        <w:t xml:space="preserve"> and other clinical </w:t>
      </w:r>
      <w:r w:rsidR="00AA3433" w:rsidRPr="0089336D">
        <w:rPr>
          <w:rFonts w:ascii="Times New Roman" w:eastAsia="Calibri" w:hAnsi="Times New Roman" w:cs="Times New Roman"/>
          <w:iCs/>
          <w:sz w:val="20"/>
          <w:szCs w:val="20"/>
        </w:rPr>
        <w:t xml:space="preserve">information. </w:t>
      </w:r>
      <w:r w:rsidRPr="0089336D">
        <w:rPr>
          <w:rFonts w:ascii="Times New Roman" w:eastAsia="Calibri" w:hAnsi="Times New Roman" w:cs="Times New Roman"/>
          <w:iCs/>
          <w:sz w:val="20"/>
          <w:szCs w:val="20"/>
        </w:rPr>
        <w:t>Means and standard deviations (SD)</w:t>
      </w:r>
      <w:r w:rsidR="008F66D1">
        <w:rPr>
          <w:rFonts w:ascii="Times New Roman" w:eastAsia="Calibri" w:hAnsi="Times New Roman" w:cs="Times New Roman"/>
          <w:iCs/>
          <w:sz w:val="20"/>
          <w:szCs w:val="20"/>
        </w:rPr>
        <w:t xml:space="preserve"> or ranges</w:t>
      </w:r>
      <w:r w:rsidRPr="0089336D">
        <w:rPr>
          <w:rFonts w:ascii="Times New Roman" w:eastAsia="Calibri" w:hAnsi="Times New Roman" w:cs="Times New Roman"/>
          <w:iCs/>
          <w:sz w:val="20"/>
          <w:szCs w:val="20"/>
        </w:rPr>
        <w:t xml:space="preserve"> were calculated for continuous data and frequencies and percentages</w:t>
      </w:r>
      <w:r w:rsidR="007E02C8" w:rsidRPr="0089336D">
        <w:rPr>
          <w:rFonts w:ascii="Times New Roman" w:eastAsia="Calibri" w:hAnsi="Times New Roman" w:cs="Times New Roman"/>
          <w:iCs/>
          <w:sz w:val="20"/>
          <w:szCs w:val="20"/>
        </w:rPr>
        <w:t xml:space="preserve"> were</w:t>
      </w:r>
      <w:r w:rsidRPr="0089336D">
        <w:rPr>
          <w:rFonts w:ascii="Times New Roman" w:eastAsia="Calibri" w:hAnsi="Times New Roman" w:cs="Times New Roman"/>
          <w:iCs/>
          <w:sz w:val="20"/>
          <w:szCs w:val="20"/>
        </w:rPr>
        <w:t xml:space="preserve"> calculated for categorical data. </w:t>
      </w:r>
      <w:r w:rsidR="003C00D5" w:rsidRPr="0089336D">
        <w:rPr>
          <w:rFonts w:ascii="Times New Roman" w:eastAsia="Calibri" w:hAnsi="Times New Roman" w:cs="Times New Roman"/>
          <w:iCs/>
          <w:sz w:val="20"/>
          <w:szCs w:val="20"/>
        </w:rPr>
        <w:t>Hospital stay length was calculated using an online date difference calculator.</w:t>
      </w:r>
      <w:r w:rsidR="007E02C8" w:rsidRPr="0089336D">
        <w:rPr>
          <w:rFonts w:ascii="Times New Roman" w:eastAsia="Calibri" w:hAnsi="Times New Roman" w:cs="Times New Roman"/>
          <w:iCs/>
          <w:sz w:val="20"/>
          <w:szCs w:val="20"/>
        </w:rPr>
        <w:t xml:space="preserve"> </w:t>
      </w:r>
      <w:r w:rsidR="00B611DB" w:rsidRPr="0089336D">
        <w:rPr>
          <w:rFonts w:ascii="Times New Roman" w:eastAsia="Calibri" w:hAnsi="Times New Roman" w:cs="Times New Roman"/>
          <w:iCs/>
          <w:sz w:val="20"/>
          <w:szCs w:val="20"/>
        </w:rPr>
        <w:t>Number and length</w:t>
      </w:r>
      <w:r w:rsidRPr="0089336D">
        <w:rPr>
          <w:rFonts w:ascii="Times New Roman" w:eastAsia="Calibri" w:hAnsi="Times New Roman" w:cs="Times New Roman"/>
          <w:iCs/>
          <w:sz w:val="20"/>
          <w:szCs w:val="20"/>
        </w:rPr>
        <w:t xml:space="preserve"> of inpatient admissions were compared in a within</w:t>
      </w:r>
      <w:r w:rsidR="007E02C8" w:rsidRPr="0089336D">
        <w:rPr>
          <w:rFonts w:ascii="Times New Roman" w:eastAsia="Calibri" w:hAnsi="Times New Roman" w:cs="Times New Roman"/>
          <w:iCs/>
          <w:sz w:val="20"/>
          <w:szCs w:val="20"/>
        </w:rPr>
        <w:t>-</w:t>
      </w:r>
      <w:r w:rsidRPr="0089336D">
        <w:rPr>
          <w:rFonts w:ascii="Times New Roman" w:eastAsia="Calibri" w:hAnsi="Times New Roman" w:cs="Times New Roman"/>
          <w:iCs/>
          <w:sz w:val="20"/>
          <w:szCs w:val="20"/>
        </w:rPr>
        <w:t>patient</w:t>
      </w:r>
      <w:r w:rsidR="007E02C8" w:rsidRPr="0089336D">
        <w:rPr>
          <w:rFonts w:ascii="Times New Roman" w:eastAsia="Calibri" w:hAnsi="Times New Roman" w:cs="Times New Roman"/>
          <w:iCs/>
          <w:sz w:val="20"/>
          <w:szCs w:val="20"/>
        </w:rPr>
        <w:t>-</w:t>
      </w:r>
      <w:r w:rsidRPr="0089336D">
        <w:rPr>
          <w:rFonts w:ascii="Times New Roman" w:eastAsia="Calibri" w:hAnsi="Times New Roman" w:cs="Times New Roman"/>
          <w:iCs/>
          <w:sz w:val="20"/>
          <w:szCs w:val="20"/>
        </w:rPr>
        <w:t>analysis. Shapiro</w:t>
      </w:r>
      <w:r w:rsidRPr="0089336D">
        <w:rPr>
          <w:rFonts w:ascii="Times New Roman" w:eastAsia="Calibri" w:hAnsi="Times New Roman" w:cs="Times New Roman" w:hint="eastAsia"/>
          <w:iCs/>
          <w:sz w:val="20"/>
          <w:szCs w:val="20"/>
        </w:rPr>
        <w:t>–</w:t>
      </w:r>
      <w:r w:rsidRPr="0089336D">
        <w:rPr>
          <w:rFonts w:ascii="Times New Roman" w:eastAsia="Calibri" w:hAnsi="Times New Roman" w:cs="Times New Roman"/>
          <w:iCs/>
          <w:sz w:val="20"/>
          <w:szCs w:val="20"/>
        </w:rPr>
        <w:t>Wilks W test revealed that this data was not normally distributed, thus Wilcoxon signed-rank test for paired data was used to compare for admission rates and bed days before and after PP1M initiation</w:t>
      </w:r>
      <w:r w:rsidR="006C0235" w:rsidRPr="0089336D">
        <w:rPr>
          <w:rFonts w:ascii="Times New Roman" w:eastAsia="Calibri" w:hAnsi="Times New Roman" w:cs="Times New Roman"/>
          <w:iCs/>
          <w:sz w:val="20"/>
          <w:szCs w:val="20"/>
        </w:rPr>
        <w:t>.</w:t>
      </w:r>
      <w:r w:rsidRPr="0089336D">
        <w:rPr>
          <w:rFonts w:ascii="Times New Roman" w:eastAsia="Calibri" w:hAnsi="Times New Roman" w:cs="Times New Roman"/>
          <w:iCs/>
          <w:sz w:val="20"/>
          <w:szCs w:val="20"/>
        </w:rPr>
        <w:t xml:space="preserve"> The data were analysed using the S</w:t>
      </w:r>
      <w:r w:rsidR="004D59E2" w:rsidRPr="0089336D">
        <w:rPr>
          <w:rFonts w:ascii="Times New Roman" w:eastAsia="Calibri" w:hAnsi="Times New Roman" w:cs="Times New Roman"/>
          <w:iCs/>
          <w:sz w:val="20"/>
          <w:szCs w:val="20"/>
        </w:rPr>
        <w:t xml:space="preserve">tatistical </w:t>
      </w:r>
      <w:r w:rsidRPr="0089336D">
        <w:rPr>
          <w:rFonts w:ascii="Times New Roman" w:eastAsia="Calibri" w:hAnsi="Times New Roman" w:cs="Times New Roman"/>
          <w:iCs/>
          <w:sz w:val="20"/>
          <w:szCs w:val="20"/>
        </w:rPr>
        <w:t>P</w:t>
      </w:r>
      <w:r w:rsidR="004D59E2" w:rsidRPr="0089336D">
        <w:rPr>
          <w:rFonts w:ascii="Times New Roman" w:eastAsia="Calibri" w:hAnsi="Times New Roman" w:cs="Times New Roman"/>
          <w:iCs/>
          <w:sz w:val="20"/>
          <w:szCs w:val="20"/>
        </w:rPr>
        <w:t xml:space="preserve">ackage for </w:t>
      </w:r>
      <w:r w:rsidRPr="0089336D">
        <w:rPr>
          <w:rFonts w:ascii="Times New Roman" w:eastAsia="Calibri" w:hAnsi="Times New Roman" w:cs="Times New Roman"/>
          <w:iCs/>
          <w:sz w:val="20"/>
          <w:szCs w:val="20"/>
        </w:rPr>
        <w:t>S</w:t>
      </w:r>
      <w:r w:rsidR="004D59E2" w:rsidRPr="0089336D">
        <w:rPr>
          <w:rFonts w:ascii="Times New Roman" w:eastAsia="Calibri" w:hAnsi="Times New Roman" w:cs="Times New Roman"/>
          <w:iCs/>
          <w:sz w:val="20"/>
          <w:szCs w:val="20"/>
        </w:rPr>
        <w:t>ocial Sciences (SPSS)</w:t>
      </w:r>
      <w:r w:rsidRPr="0089336D">
        <w:rPr>
          <w:rFonts w:ascii="Times New Roman" w:eastAsia="Calibri" w:hAnsi="Times New Roman" w:cs="Times New Roman"/>
          <w:iCs/>
          <w:sz w:val="20"/>
          <w:szCs w:val="20"/>
        </w:rPr>
        <w:t xml:space="preserve"> for Windows</w:t>
      </w:r>
      <w:r w:rsidR="00AA3433" w:rsidRPr="0089336D">
        <w:rPr>
          <w:rFonts w:ascii="Times New Roman" w:eastAsia="Calibri" w:hAnsi="Times New Roman" w:cs="Times New Roman"/>
          <w:iCs/>
          <w:sz w:val="20"/>
          <w:szCs w:val="20"/>
        </w:rPr>
        <w:t xml:space="preserve"> and p values of </w:t>
      </w:r>
      <w:r w:rsidR="002571F0" w:rsidRPr="0089336D">
        <w:rPr>
          <w:rFonts w:ascii="Times New Roman" w:eastAsia="Calibri" w:hAnsi="Times New Roman" w:cs="Times New Roman"/>
          <w:iCs/>
          <w:sz w:val="20"/>
          <w:szCs w:val="20"/>
        </w:rPr>
        <w:t xml:space="preserve">less than </w:t>
      </w:r>
      <w:r w:rsidR="00AA3433" w:rsidRPr="0089336D">
        <w:rPr>
          <w:rFonts w:ascii="Times New Roman" w:eastAsia="Calibri" w:hAnsi="Times New Roman" w:cs="Times New Roman"/>
          <w:iCs/>
          <w:sz w:val="20"/>
          <w:szCs w:val="20"/>
        </w:rPr>
        <w:t>0.05 were used to determine</w:t>
      </w:r>
      <w:r w:rsidR="007E02C8" w:rsidRPr="0089336D">
        <w:rPr>
          <w:rFonts w:ascii="Times New Roman" w:eastAsia="Calibri" w:hAnsi="Times New Roman" w:cs="Times New Roman"/>
          <w:iCs/>
          <w:sz w:val="20"/>
          <w:szCs w:val="20"/>
        </w:rPr>
        <w:t xml:space="preserve"> statistical</w:t>
      </w:r>
      <w:r w:rsidR="00AA3433" w:rsidRPr="0089336D">
        <w:rPr>
          <w:rFonts w:ascii="Times New Roman" w:eastAsia="Calibri" w:hAnsi="Times New Roman" w:cs="Times New Roman"/>
          <w:iCs/>
          <w:sz w:val="20"/>
          <w:szCs w:val="20"/>
        </w:rPr>
        <w:t xml:space="preserve"> significance</w:t>
      </w:r>
      <w:r w:rsidR="00CD7A77" w:rsidRPr="0089336D">
        <w:rPr>
          <w:rFonts w:ascii="Times New Roman" w:eastAsia="Calibri" w:hAnsi="Times New Roman" w:cs="Times New Roman"/>
          <w:iCs/>
          <w:sz w:val="20"/>
          <w:szCs w:val="20"/>
        </w:rPr>
        <w:t>.</w:t>
      </w:r>
      <w:r w:rsidR="009A56C5" w:rsidRPr="0089336D">
        <w:rPr>
          <w:rFonts w:ascii="Times New Roman" w:eastAsia="Calibri" w:hAnsi="Times New Roman" w:cs="Times New Roman"/>
          <w:iCs/>
          <w:sz w:val="20"/>
          <w:szCs w:val="20"/>
        </w:rPr>
        <w:t xml:space="preserve"> </w:t>
      </w:r>
      <w:r w:rsidR="0093526F" w:rsidRPr="0089336D">
        <w:rPr>
          <w:rFonts w:ascii="Times New Roman" w:eastAsia="Calibri" w:hAnsi="Times New Roman" w:cs="Times New Roman"/>
          <w:iCs/>
          <w:sz w:val="20"/>
          <w:szCs w:val="20"/>
        </w:rPr>
        <w:t>In addition to the total cohort, the subgroup with a diagnosis of schizophrenia was also analysed and presented separately as this is the formally licenced diagnosis for treatment with PP1M in the U</w:t>
      </w:r>
      <w:r w:rsidR="004D59E2" w:rsidRPr="0089336D">
        <w:rPr>
          <w:rFonts w:ascii="Times New Roman" w:eastAsia="Calibri" w:hAnsi="Times New Roman" w:cs="Times New Roman"/>
          <w:iCs/>
          <w:sz w:val="20"/>
          <w:szCs w:val="20"/>
        </w:rPr>
        <w:t>nited Kingdom</w:t>
      </w:r>
      <w:r w:rsidR="0093526F" w:rsidRPr="0089336D">
        <w:rPr>
          <w:rFonts w:ascii="Times New Roman" w:eastAsia="Calibri" w:hAnsi="Times New Roman" w:cs="Times New Roman"/>
          <w:iCs/>
          <w:sz w:val="20"/>
          <w:szCs w:val="20"/>
        </w:rPr>
        <w:t xml:space="preserve"> although</w:t>
      </w:r>
      <w:r w:rsidR="00CA5664">
        <w:rPr>
          <w:rFonts w:ascii="Times New Roman" w:eastAsia="Calibri" w:hAnsi="Times New Roman" w:cs="Times New Roman"/>
          <w:iCs/>
          <w:sz w:val="20"/>
          <w:szCs w:val="20"/>
        </w:rPr>
        <w:t>,</w:t>
      </w:r>
      <w:r w:rsidR="0093526F" w:rsidRPr="0089336D">
        <w:rPr>
          <w:rFonts w:ascii="Times New Roman" w:eastAsia="Calibri" w:hAnsi="Times New Roman" w:cs="Times New Roman"/>
          <w:iCs/>
          <w:sz w:val="20"/>
          <w:szCs w:val="20"/>
        </w:rPr>
        <w:t xml:space="preserve"> in real world clinical practice</w:t>
      </w:r>
      <w:r w:rsidR="00CA5664">
        <w:rPr>
          <w:rFonts w:ascii="Times New Roman" w:eastAsia="Calibri" w:hAnsi="Times New Roman" w:cs="Times New Roman"/>
          <w:iCs/>
          <w:sz w:val="20"/>
          <w:szCs w:val="20"/>
        </w:rPr>
        <w:t>,</w:t>
      </w:r>
      <w:r w:rsidR="0093526F" w:rsidRPr="0089336D">
        <w:rPr>
          <w:rFonts w:ascii="Times New Roman" w:eastAsia="Calibri" w:hAnsi="Times New Roman" w:cs="Times New Roman"/>
          <w:iCs/>
          <w:sz w:val="20"/>
          <w:szCs w:val="20"/>
        </w:rPr>
        <w:t xml:space="preserve"> off licence prescribing is common. </w:t>
      </w:r>
      <w:r w:rsidR="005518B1" w:rsidRPr="0089336D">
        <w:rPr>
          <w:rFonts w:ascii="Times New Roman" w:eastAsia="Calibri" w:hAnsi="Times New Roman" w:cs="Times New Roman"/>
          <w:iCs/>
          <w:sz w:val="20"/>
          <w:szCs w:val="20"/>
        </w:rPr>
        <w:t>In addition, we wanted to allow for comparisons with other relevant studies where they commonly report on patients with schizophrenia.</w:t>
      </w:r>
    </w:p>
    <w:p w14:paraId="36A93CE5" w14:textId="30A5FF8D" w:rsidR="00964107" w:rsidRPr="00AA5B69" w:rsidRDefault="00DA1947" w:rsidP="00734987">
      <w:pPr>
        <w:pStyle w:val="Heading1"/>
        <w:rPr>
          <w:rFonts w:ascii="Times New Roman" w:hAnsi="Times New Roman" w:cs="Times New Roman"/>
          <w:sz w:val="24"/>
          <w:szCs w:val="24"/>
        </w:rPr>
      </w:pPr>
      <w:r w:rsidRPr="00AA5B69">
        <w:rPr>
          <w:rFonts w:ascii="Times New Roman" w:hAnsi="Times New Roman" w:cs="Times New Roman"/>
          <w:sz w:val="24"/>
          <w:szCs w:val="24"/>
        </w:rPr>
        <w:t xml:space="preserve">3.0 Results </w:t>
      </w:r>
    </w:p>
    <w:p w14:paraId="1E0B0C36" w14:textId="77777777" w:rsidR="007F1E72" w:rsidRPr="0089336D" w:rsidRDefault="007F1E72" w:rsidP="007F1E72">
      <w:pPr>
        <w:pStyle w:val="NoSpacing"/>
        <w:jc w:val="both"/>
        <w:rPr>
          <w:rFonts w:ascii="Times New Roman" w:hAnsi="Times New Roman" w:cs="Times New Roman"/>
          <w:iCs/>
          <w:sz w:val="20"/>
          <w:szCs w:val="20"/>
        </w:rPr>
      </w:pPr>
    </w:p>
    <w:p w14:paraId="3C5BE56A" w14:textId="4660C1E8" w:rsidR="00375F15" w:rsidRPr="0089336D" w:rsidRDefault="00375F15" w:rsidP="007F1E72">
      <w:pPr>
        <w:pStyle w:val="NoSpacing"/>
        <w:jc w:val="both"/>
        <w:rPr>
          <w:rFonts w:ascii="Times New Roman" w:hAnsi="Times New Roman" w:cs="Times New Roman"/>
          <w:iCs/>
          <w:sz w:val="20"/>
          <w:szCs w:val="20"/>
        </w:rPr>
      </w:pPr>
      <w:r w:rsidRPr="0089336D">
        <w:rPr>
          <w:rFonts w:ascii="Times New Roman" w:hAnsi="Times New Roman" w:cs="Times New Roman"/>
          <w:iCs/>
          <w:sz w:val="20"/>
          <w:szCs w:val="20"/>
        </w:rPr>
        <w:t xml:space="preserve">A total of 197 patients were registered for treatment with PP1M during the study period, of </w:t>
      </w:r>
      <w:r w:rsidR="008F59FF" w:rsidRPr="0089336D">
        <w:rPr>
          <w:rFonts w:ascii="Times New Roman" w:hAnsi="Times New Roman" w:cs="Times New Roman"/>
          <w:iCs/>
          <w:sz w:val="20"/>
          <w:szCs w:val="20"/>
        </w:rPr>
        <w:t xml:space="preserve">these </w:t>
      </w:r>
      <w:r w:rsidRPr="0089336D">
        <w:rPr>
          <w:rFonts w:ascii="Times New Roman" w:hAnsi="Times New Roman" w:cs="Times New Roman"/>
          <w:iCs/>
          <w:sz w:val="20"/>
          <w:szCs w:val="20"/>
        </w:rPr>
        <w:t xml:space="preserve">167 patients met eligibility criteria and were included in the study.  </w:t>
      </w:r>
      <w:r w:rsidR="008F59FF" w:rsidRPr="0089336D">
        <w:rPr>
          <w:rFonts w:ascii="Times New Roman" w:hAnsi="Times New Roman" w:cs="Times New Roman"/>
          <w:iCs/>
          <w:sz w:val="20"/>
          <w:szCs w:val="20"/>
        </w:rPr>
        <w:t xml:space="preserve">A total of </w:t>
      </w:r>
      <w:r w:rsidRPr="0089336D">
        <w:rPr>
          <w:rFonts w:ascii="Times New Roman" w:hAnsi="Times New Roman" w:cs="Times New Roman"/>
          <w:iCs/>
          <w:sz w:val="20"/>
          <w:szCs w:val="20"/>
        </w:rPr>
        <w:t>117 (70%) had a primary diagnosis of schizophrenia and the remaining 50 (30%) had schizoaffective disorder, bipolar affective disorder or other diagnosis. The demographic and clinical characteristics of the total cohort and the schizophrenia only group are summarised in Table 1.</w:t>
      </w:r>
    </w:p>
    <w:p w14:paraId="73485DDF" w14:textId="77777777" w:rsidR="00E45BE3" w:rsidRPr="0089336D" w:rsidRDefault="00E45BE3" w:rsidP="007F1E72">
      <w:pPr>
        <w:pStyle w:val="NoSpacing"/>
        <w:jc w:val="both"/>
        <w:rPr>
          <w:rFonts w:ascii="Times New Roman" w:hAnsi="Times New Roman" w:cs="Times New Roman"/>
          <w:iCs/>
          <w:sz w:val="20"/>
          <w:szCs w:val="20"/>
        </w:rPr>
      </w:pPr>
    </w:p>
    <w:p w14:paraId="7C0073B4" w14:textId="092D1F86" w:rsidR="006C00AF" w:rsidRPr="0089336D" w:rsidRDefault="00E75C14" w:rsidP="007F1E72">
      <w:pPr>
        <w:pStyle w:val="NoSpacing"/>
        <w:jc w:val="both"/>
        <w:rPr>
          <w:rFonts w:ascii="Times New Roman" w:hAnsi="Times New Roman" w:cs="Times New Roman"/>
          <w:b/>
          <w:bCs/>
          <w:iCs/>
          <w:sz w:val="20"/>
          <w:szCs w:val="20"/>
        </w:rPr>
      </w:pPr>
      <w:r w:rsidRPr="0089336D">
        <w:rPr>
          <w:rFonts w:ascii="Times New Roman" w:hAnsi="Times New Roman" w:cs="Times New Roman"/>
          <w:bCs/>
          <w:iCs/>
          <w:sz w:val="20"/>
          <w:szCs w:val="20"/>
        </w:rPr>
        <w:t xml:space="preserve">3.1 </w:t>
      </w:r>
      <w:r w:rsidR="00375F15" w:rsidRPr="0089336D">
        <w:rPr>
          <w:rStyle w:val="Heading2Char"/>
          <w:rFonts w:ascii="Times New Roman" w:hAnsi="Times New Roman" w:cs="Times New Roman"/>
          <w:sz w:val="20"/>
          <w:szCs w:val="20"/>
        </w:rPr>
        <w:t>Dis</w:t>
      </w:r>
      <w:r w:rsidR="00964107" w:rsidRPr="0089336D">
        <w:rPr>
          <w:rStyle w:val="Heading2Char"/>
          <w:rFonts w:ascii="Times New Roman" w:hAnsi="Times New Roman" w:cs="Times New Roman"/>
          <w:sz w:val="20"/>
          <w:szCs w:val="20"/>
        </w:rPr>
        <w:t>continuation rates</w:t>
      </w:r>
      <w:r w:rsidR="00375F15" w:rsidRPr="0089336D">
        <w:rPr>
          <w:rStyle w:val="Heading2Char"/>
          <w:rFonts w:ascii="Times New Roman" w:hAnsi="Times New Roman" w:cs="Times New Roman"/>
          <w:sz w:val="20"/>
          <w:szCs w:val="20"/>
        </w:rPr>
        <w:t xml:space="preserve"> and reasons</w:t>
      </w:r>
    </w:p>
    <w:p w14:paraId="2FA79240" w14:textId="77777777" w:rsidR="00E45BE3" w:rsidRPr="0089336D" w:rsidRDefault="00E45BE3" w:rsidP="007F1E72">
      <w:pPr>
        <w:pStyle w:val="NoSpacing"/>
        <w:jc w:val="both"/>
        <w:rPr>
          <w:rFonts w:ascii="Times New Roman" w:hAnsi="Times New Roman" w:cs="Times New Roman"/>
          <w:iCs/>
          <w:sz w:val="20"/>
          <w:szCs w:val="20"/>
        </w:rPr>
      </w:pPr>
    </w:p>
    <w:p w14:paraId="3994ED52" w14:textId="46C5F53E" w:rsidR="0000566E" w:rsidRPr="0089336D" w:rsidRDefault="0000566E" w:rsidP="007F1E72">
      <w:pPr>
        <w:pStyle w:val="NoSpacing"/>
        <w:jc w:val="both"/>
        <w:rPr>
          <w:rFonts w:ascii="Times New Roman" w:hAnsi="Times New Roman" w:cs="Times New Roman"/>
          <w:iCs/>
          <w:color w:val="000000" w:themeColor="text1"/>
          <w:sz w:val="20"/>
          <w:szCs w:val="20"/>
        </w:rPr>
      </w:pPr>
      <w:r w:rsidRPr="0089336D">
        <w:rPr>
          <w:rFonts w:ascii="Times New Roman" w:hAnsi="Times New Roman" w:cs="Times New Roman"/>
          <w:iCs/>
          <w:sz w:val="20"/>
          <w:szCs w:val="20"/>
        </w:rPr>
        <w:t>Of the</w:t>
      </w:r>
      <w:r w:rsidR="00E63D9C" w:rsidRPr="0089336D">
        <w:rPr>
          <w:rFonts w:ascii="Times New Roman" w:hAnsi="Times New Roman" w:cs="Times New Roman"/>
          <w:iCs/>
          <w:sz w:val="20"/>
          <w:szCs w:val="20"/>
        </w:rPr>
        <w:t xml:space="preserve"> total</w:t>
      </w:r>
      <w:r w:rsidR="00375F15" w:rsidRPr="0089336D">
        <w:rPr>
          <w:rFonts w:ascii="Times New Roman" w:hAnsi="Times New Roman" w:cs="Times New Roman"/>
          <w:iCs/>
          <w:sz w:val="20"/>
          <w:szCs w:val="20"/>
        </w:rPr>
        <w:t xml:space="preserve"> patient cohort</w:t>
      </w:r>
      <w:r w:rsidR="00E44584" w:rsidRPr="0089336D">
        <w:rPr>
          <w:rFonts w:ascii="Times New Roman" w:hAnsi="Times New Roman" w:cs="Times New Roman"/>
          <w:iCs/>
          <w:sz w:val="20"/>
          <w:szCs w:val="20"/>
        </w:rPr>
        <w:t xml:space="preserve">, </w:t>
      </w:r>
      <w:r w:rsidR="00302DC2" w:rsidRPr="0089336D">
        <w:rPr>
          <w:rFonts w:ascii="Times New Roman" w:hAnsi="Times New Roman" w:cs="Times New Roman"/>
          <w:iCs/>
          <w:sz w:val="20"/>
          <w:szCs w:val="20"/>
        </w:rPr>
        <w:t>24</w:t>
      </w:r>
      <w:r w:rsidR="00E44584" w:rsidRPr="0089336D">
        <w:rPr>
          <w:rFonts w:ascii="Times New Roman" w:hAnsi="Times New Roman" w:cs="Times New Roman"/>
          <w:iCs/>
          <w:sz w:val="20"/>
          <w:szCs w:val="20"/>
        </w:rPr>
        <w:t>% (</w:t>
      </w:r>
      <w:r w:rsidR="00302DC2" w:rsidRPr="0089336D">
        <w:rPr>
          <w:rFonts w:ascii="Times New Roman" w:hAnsi="Times New Roman" w:cs="Times New Roman"/>
          <w:iCs/>
          <w:sz w:val="20"/>
          <w:szCs w:val="20"/>
        </w:rPr>
        <w:t>40/167</w:t>
      </w:r>
      <w:r w:rsidR="00E44584" w:rsidRPr="0089336D">
        <w:rPr>
          <w:rFonts w:ascii="Times New Roman" w:hAnsi="Times New Roman" w:cs="Times New Roman"/>
          <w:iCs/>
          <w:sz w:val="20"/>
          <w:szCs w:val="20"/>
        </w:rPr>
        <w:t xml:space="preserve">) discontinued in the first year, </w:t>
      </w:r>
      <w:r w:rsidR="00302DC2" w:rsidRPr="0089336D">
        <w:rPr>
          <w:rFonts w:ascii="Times New Roman" w:hAnsi="Times New Roman" w:cs="Times New Roman"/>
          <w:iCs/>
          <w:sz w:val="20"/>
          <w:szCs w:val="20"/>
        </w:rPr>
        <w:t>15% (19/127</w:t>
      </w:r>
      <w:r w:rsidR="00E44584" w:rsidRPr="0089336D">
        <w:rPr>
          <w:rFonts w:ascii="Times New Roman" w:hAnsi="Times New Roman" w:cs="Times New Roman"/>
          <w:iCs/>
          <w:sz w:val="20"/>
          <w:szCs w:val="20"/>
        </w:rPr>
        <w:t xml:space="preserve">) in second, </w:t>
      </w:r>
      <w:r w:rsidR="00302DC2" w:rsidRPr="0089336D">
        <w:rPr>
          <w:rFonts w:ascii="Times New Roman" w:hAnsi="Times New Roman" w:cs="Times New Roman"/>
          <w:iCs/>
          <w:sz w:val="20"/>
          <w:szCs w:val="20"/>
        </w:rPr>
        <w:t>1</w:t>
      </w:r>
      <w:r w:rsidR="00127A82" w:rsidRPr="0089336D">
        <w:rPr>
          <w:rFonts w:ascii="Times New Roman" w:hAnsi="Times New Roman" w:cs="Times New Roman"/>
          <w:iCs/>
          <w:sz w:val="20"/>
          <w:szCs w:val="20"/>
        </w:rPr>
        <w:t>7.6</w:t>
      </w:r>
      <w:r w:rsidR="00302DC2" w:rsidRPr="0089336D">
        <w:rPr>
          <w:rFonts w:ascii="Times New Roman" w:hAnsi="Times New Roman" w:cs="Times New Roman"/>
          <w:iCs/>
          <w:sz w:val="20"/>
          <w:szCs w:val="20"/>
        </w:rPr>
        <w:t>% (19/108</w:t>
      </w:r>
      <w:r w:rsidR="00E44584" w:rsidRPr="0089336D">
        <w:rPr>
          <w:rFonts w:ascii="Times New Roman" w:hAnsi="Times New Roman" w:cs="Times New Roman"/>
          <w:iCs/>
          <w:sz w:val="20"/>
          <w:szCs w:val="20"/>
        </w:rPr>
        <w:t>) in the third</w:t>
      </w:r>
      <w:r w:rsidR="00E63D9C" w:rsidRPr="0089336D">
        <w:rPr>
          <w:rFonts w:ascii="Times New Roman" w:hAnsi="Times New Roman" w:cs="Times New Roman"/>
          <w:iCs/>
          <w:sz w:val="20"/>
          <w:szCs w:val="20"/>
        </w:rPr>
        <w:t>,</w:t>
      </w:r>
      <w:r w:rsidRPr="0089336D">
        <w:rPr>
          <w:rFonts w:ascii="Times New Roman" w:hAnsi="Times New Roman" w:cs="Times New Roman"/>
          <w:iCs/>
          <w:sz w:val="20"/>
          <w:szCs w:val="20"/>
        </w:rPr>
        <w:t xml:space="preserve"> </w:t>
      </w:r>
      <w:r w:rsidR="00127A82" w:rsidRPr="0089336D">
        <w:rPr>
          <w:rFonts w:ascii="Times New Roman" w:hAnsi="Times New Roman" w:cs="Times New Roman"/>
          <w:iCs/>
          <w:sz w:val="20"/>
          <w:szCs w:val="20"/>
        </w:rPr>
        <w:t>5.6% (</w:t>
      </w:r>
      <w:r w:rsidRPr="0089336D">
        <w:rPr>
          <w:rFonts w:ascii="Times New Roman" w:hAnsi="Times New Roman" w:cs="Times New Roman"/>
          <w:iCs/>
          <w:sz w:val="20"/>
          <w:szCs w:val="20"/>
        </w:rPr>
        <w:t>5/89</w:t>
      </w:r>
      <w:r w:rsidR="00127A82" w:rsidRPr="0089336D">
        <w:rPr>
          <w:rFonts w:ascii="Times New Roman" w:hAnsi="Times New Roman" w:cs="Times New Roman"/>
          <w:iCs/>
          <w:sz w:val="20"/>
          <w:szCs w:val="20"/>
        </w:rPr>
        <w:t>)</w:t>
      </w:r>
      <w:r w:rsidRPr="0089336D">
        <w:rPr>
          <w:rFonts w:ascii="Times New Roman" w:hAnsi="Times New Roman" w:cs="Times New Roman"/>
          <w:iCs/>
          <w:sz w:val="20"/>
          <w:szCs w:val="20"/>
        </w:rPr>
        <w:t xml:space="preserve"> </w:t>
      </w:r>
      <w:r w:rsidR="00E63D9C" w:rsidRPr="0089336D">
        <w:rPr>
          <w:rFonts w:ascii="Times New Roman" w:hAnsi="Times New Roman" w:cs="Times New Roman"/>
          <w:iCs/>
          <w:sz w:val="20"/>
          <w:szCs w:val="20"/>
        </w:rPr>
        <w:t>the fourth</w:t>
      </w:r>
      <w:r w:rsidRPr="0089336D">
        <w:rPr>
          <w:rFonts w:ascii="Times New Roman" w:hAnsi="Times New Roman" w:cs="Times New Roman"/>
          <w:iCs/>
          <w:sz w:val="20"/>
          <w:szCs w:val="20"/>
        </w:rPr>
        <w:t xml:space="preserve"> and </w:t>
      </w:r>
      <w:r w:rsidR="00127A82" w:rsidRPr="0089336D">
        <w:rPr>
          <w:rFonts w:ascii="Times New Roman" w:hAnsi="Times New Roman" w:cs="Times New Roman"/>
          <w:iCs/>
          <w:sz w:val="20"/>
          <w:szCs w:val="20"/>
        </w:rPr>
        <w:t>8.3% (</w:t>
      </w:r>
      <w:r w:rsidRPr="0089336D">
        <w:rPr>
          <w:rFonts w:ascii="Times New Roman" w:hAnsi="Times New Roman" w:cs="Times New Roman"/>
          <w:iCs/>
          <w:sz w:val="20"/>
          <w:szCs w:val="20"/>
        </w:rPr>
        <w:t>7/84</w:t>
      </w:r>
      <w:r w:rsidR="00127A82" w:rsidRPr="0089336D">
        <w:rPr>
          <w:rFonts w:ascii="Times New Roman" w:hAnsi="Times New Roman" w:cs="Times New Roman"/>
          <w:iCs/>
          <w:sz w:val="20"/>
          <w:szCs w:val="20"/>
        </w:rPr>
        <w:t xml:space="preserve">) </w:t>
      </w:r>
      <w:r w:rsidRPr="0089336D">
        <w:rPr>
          <w:rFonts w:ascii="Times New Roman" w:hAnsi="Times New Roman" w:cs="Times New Roman"/>
          <w:iCs/>
          <w:sz w:val="20"/>
          <w:szCs w:val="20"/>
        </w:rPr>
        <w:t>in year 5</w:t>
      </w:r>
      <w:r w:rsidR="00E11166" w:rsidRPr="0089336D">
        <w:rPr>
          <w:rFonts w:ascii="Times New Roman" w:hAnsi="Times New Roman" w:cs="Times New Roman"/>
          <w:iCs/>
          <w:sz w:val="20"/>
          <w:szCs w:val="20"/>
        </w:rPr>
        <w:t xml:space="preserve"> and the continuation rates were </w:t>
      </w:r>
      <w:r w:rsidR="00302DC2" w:rsidRPr="0089336D">
        <w:rPr>
          <w:rFonts w:ascii="Times New Roman" w:hAnsi="Times New Roman" w:cs="Times New Roman"/>
          <w:iCs/>
          <w:sz w:val="20"/>
          <w:szCs w:val="20"/>
        </w:rPr>
        <w:t>76</w:t>
      </w:r>
      <w:r w:rsidR="00E44584" w:rsidRPr="0089336D">
        <w:rPr>
          <w:rFonts w:ascii="Times New Roman" w:hAnsi="Times New Roman" w:cs="Times New Roman"/>
          <w:iCs/>
          <w:sz w:val="20"/>
          <w:szCs w:val="20"/>
        </w:rPr>
        <w:t>%</w:t>
      </w:r>
      <w:r w:rsidRPr="0089336D">
        <w:rPr>
          <w:rFonts w:ascii="Times New Roman" w:hAnsi="Times New Roman" w:cs="Times New Roman"/>
          <w:iCs/>
          <w:sz w:val="20"/>
          <w:szCs w:val="20"/>
        </w:rPr>
        <w:t>, 6</w:t>
      </w:r>
      <w:r w:rsidR="00AD2A7F" w:rsidRPr="0089336D">
        <w:rPr>
          <w:rFonts w:ascii="Times New Roman" w:hAnsi="Times New Roman" w:cs="Times New Roman"/>
          <w:iCs/>
          <w:sz w:val="20"/>
          <w:szCs w:val="20"/>
        </w:rPr>
        <w:t>4.7</w:t>
      </w:r>
      <w:r w:rsidRPr="0089336D">
        <w:rPr>
          <w:rFonts w:ascii="Times New Roman" w:hAnsi="Times New Roman" w:cs="Times New Roman"/>
          <w:iCs/>
          <w:sz w:val="20"/>
          <w:szCs w:val="20"/>
        </w:rPr>
        <w:t>%,</w:t>
      </w:r>
      <w:r w:rsidR="00302DC2" w:rsidRPr="0089336D">
        <w:rPr>
          <w:rFonts w:ascii="Times New Roman" w:hAnsi="Times New Roman" w:cs="Times New Roman"/>
          <w:iCs/>
          <w:sz w:val="20"/>
          <w:szCs w:val="20"/>
        </w:rPr>
        <w:t xml:space="preserve"> 5</w:t>
      </w:r>
      <w:r w:rsidR="00AD2A7F" w:rsidRPr="0089336D">
        <w:rPr>
          <w:rFonts w:ascii="Times New Roman" w:hAnsi="Times New Roman" w:cs="Times New Roman"/>
          <w:iCs/>
          <w:sz w:val="20"/>
          <w:szCs w:val="20"/>
        </w:rPr>
        <w:t>3.3</w:t>
      </w:r>
      <w:r w:rsidR="00E44584" w:rsidRPr="0089336D">
        <w:rPr>
          <w:rFonts w:ascii="Times New Roman" w:hAnsi="Times New Roman" w:cs="Times New Roman"/>
          <w:iCs/>
          <w:sz w:val="20"/>
          <w:szCs w:val="20"/>
        </w:rPr>
        <w:t>%</w:t>
      </w:r>
      <w:r w:rsidR="00AD2A7F" w:rsidRPr="0089336D">
        <w:rPr>
          <w:rFonts w:ascii="Times New Roman" w:hAnsi="Times New Roman" w:cs="Times New Roman"/>
          <w:iCs/>
          <w:sz w:val="20"/>
          <w:szCs w:val="20"/>
        </w:rPr>
        <w:t>, 50.3% and 46.1%</w:t>
      </w:r>
      <w:r w:rsidR="00E11166" w:rsidRPr="0089336D">
        <w:rPr>
          <w:rFonts w:ascii="Times New Roman" w:hAnsi="Times New Roman" w:cs="Times New Roman"/>
          <w:iCs/>
          <w:sz w:val="20"/>
          <w:szCs w:val="20"/>
        </w:rPr>
        <w:t xml:space="preserve"> respectively (table 2)</w:t>
      </w:r>
      <w:r w:rsidR="00AD2A7F" w:rsidRPr="0089336D">
        <w:rPr>
          <w:rFonts w:ascii="Times New Roman" w:hAnsi="Times New Roman" w:cs="Times New Roman"/>
          <w:iCs/>
          <w:sz w:val="20"/>
          <w:szCs w:val="20"/>
        </w:rPr>
        <w:t>.</w:t>
      </w:r>
      <w:bookmarkStart w:id="0" w:name="_Hlk82769477"/>
      <w:r w:rsidR="007878E7" w:rsidRPr="0089336D">
        <w:rPr>
          <w:rFonts w:ascii="Times New Roman" w:hAnsi="Times New Roman" w:cs="Times New Roman"/>
          <w:iCs/>
          <w:sz w:val="20"/>
          <w:szCs w:val="20"/>
        </w:rPr>
        <w:t xml:space="preserve"> </w:t>
      </w:r>
      <w:r w:rsidR="00E44584" w:rsidRPr="0089336D">
        <w:rPr>
          <w:rFonts w:ascii="Times New Roman" w:hAnsi="Times New Roman" w:cs="Times New Roman"/>
          <w:iCs/>
          <w:color w:val="000000" w:themeColor="text1"/>
          <w:sz w:val="20"/>
          <w:szCs w:val="20"/>
        </w:rPr>
        <w:t>In the schizophrenia group</w:t>
      </w:r>
      <w:r w:rsidR="00E63D9C" w:rsidRPr="0089336D">
        <w:rPr>
          <w:rFonts w:ascii="Times New Roman" w:hAnsi="Times New Roman" w:cs="Times New Roman"/>
          <w:iCs/>
          <w:color w:val="000000" w:themeColor="text1"/>
          <w:sz w:val="20"/>
          <w:szCs w:val="20"/>
        </w:rPr>
        <w:t xml:space="preserve"> (n=117)</w:t>
      </w:r>
      <w:r w:rsidR="00E44584" w:rsidRPr="0089336D">
        <w:rPr>
          <w:rFonts w:ascii="Times New Roman" w:hAnsi="Times New Roman" w:cs="Times New Roman"/>
          <w:iCs/>
          <w:color w:val="000000" w:themeColor="text1"/>
          <w:sz w:val="20"/>
          <w:szCs w:val="20"/>
        </w:rPr>
        <w:t>, the discon</w:t>
      </w:r>
      <w:r w:rsidR="00694C10" w:rsidRPr="0089336D">
        <w:rPr>
          <w:rFonts w:ascii="Times New Roman" w:hAnsi="Times New Roman" w:cs="Times New Roman"/>
          <w:iCs/>
          <w:color w:val="000000" w:themeColor="text1"/>
          <w:sz w:val="20"/>
          <w:szCs w:val="20"/>
        </w:rPr>
        <w:t>tinuation rates</w:t>
      </w:r>
      <w:r w:rsidR="00E63D9C" w:rsidRPr="0089336D">
        <w:rPr>
          <w:rFonts w:ascii="Times New Roman" w:hAnsi="Times New Roman" w:cs="Times New Roman"/>
          <w:iCs/>
          <w:color w:val="000000" w:themeColor="text1"/>
          <w:sz w:val="20"/>
          <w:szCs w:val="20"/>
        </w:rPr>
        <w:t xml:space="preserve"> over the </w:t>
      </w:r>
      <w:r w:rsidR="008843CF" w:rsidRPr="0089336D">
        <w:rPr>
          <w:rFonts w:ascii="Times New Roman" w:hAnsi="Times New Roman" w:cs="Times New Roman"/>
          <w:iCs/>
          <w:color w:val="000000" w:themeColor="text1"/>
          <w:sz w:val="20"/>
          <w:szCs w:val="20"/>
        </w:rPr>
        <w:t>5</w:t>
      </w:r>
      <w:r w:rsidR="00E63D9C" w:rsidRPr="0089336D">
        <w:rPr>
          <w:rFonts w:ascii="Times New Roman" w:hAnsi="Times New Roman" w:cs="Times New Roman"/>
          <w:iCs/>
          <w:color w:val="000000" w:themeColor="text1"/>
          <w:sz w:val="20"/>
          <w:szCs w:val="20"/>
        </w:rPr>
        <w:t xml:space="preserve"> years</w:t>
      </w:r>
      <w:r w:rsidR="00694C10" w:rsidRPr="0089336D">
        <w:rPr>
          <w:rFonts w:ascii="Times New Roman" w:hAnsi="Times New Roman" w:cs="Times New Roman"/>
          <w:iCs/>
          <w:color w:val="000000" w:themeColor="text1"/>
          <w:sz w:val="20"/>
          <w:szCs w:val="20"/>
        </w:rPr>
        <w:t xml:space="preserve"> were 21% (24/117), 14% (13/93) and 19% (15/80</w:t>
      </w:r>
      <w:r w:rsidRPr="0089336D">
        <w:rPr>
          <w:rFonts w:ascii="Times New Roman" w:hAnsi="Times New Roman" w:cs="Times New Roman"/>
          <w:iCs/>
          <w:color w:val="000000" w:themeColor="text1"/>
          <w:sz w:val="20"/>
          <w:szCs w:val="20"/>
        </w:rPr>
        <w:t>)</w:t>
      </w:r>
      <w:r w:rsidR="00561250" w:rsidRPr="0089336D">
        <w:rPr>
          <w:rFonts w:ascii="Times New Roman" w:hAnsi="Times New Roman" w:cs="Times New Roman"/>
          <w:iCs/>
          <w:color w:val="000000" w:themeColor="text1"/>
          <w:sz w:val="20"/>
          <w:szCs w:val="20"/>
        </w:rPr>
        <w:t xml:space="preserve">, </w:t>
      </w:r>
      <w:r w:rsidR="00E63D9C" w:rsidRPr="0089336D">
        <w:rPr>
          <w:rFonts w:ascii="Times New Roman" w:hAnsi="Times New Roman" w:cs="Times New Roman"/>
          <w:iCs/>
          <w:color w:val="000000" w:themeColor="text1"/>
          <w:sz w:val="20"/>
          <w:szCs w:val="20"/>
        </w:rPr>
        <w:t>6% (</w:t>
      </w:r>
      <w:r w:rsidR="00561250" w:rsidRPr="0089336D">
        <w:rPr>
          <w:rFonts w:ascii="Times New Roman" w:hAnsi="Times New Roman" w:cs="Times New Roman"/>
          <w:iCs/>
          <w:color w:val="000000" w:themeColor="text1"/>
          <w:sz w:val="20"/>
          <w:szCs w:val="20"/>
        </w:rPr>
        <w:t>4/65</w:t>
      </w:r>
      <w:r w:rsidR="00E63D9C" w:rsidRPr="0089336D">
        <w:rPr>
          <w:rFonts w:ascii="Times New Roman" w:hAnsi="Times New Roman" w:cs="Times New Roman"/>
          <w:iCs/>
          <w:color w:val="000000" w:themeColor="text1"/>
          <w:sz w:val="20"/>
          <w:szCs w:val="20"/>
        </w:rPr>
        <w:t>)</w:t>
      </w:r>
      <w:r w:rsidR="00561250" w:rsidRPr="0089336D">
        <w:rPr>
          <w:rFonts w:ascii="Times New Roman" w:hAnsi="Times New Roman" w:cs="Times New Roman"/>
          <w:iCs/>
          <w:color w:val="000000" w:themeColor="text1"/>
          <w:sz w:val="20"/>
          <w:szCs w:val="20"/>
        </w:rPr>
        <w:t xml:space="preserve"> and </w:t>
      </w:r>
      <w:r w:rsidR="00E63D9C" w:rsidRPr="0089336D">
        <w:rPr>
          <w:rFonts w:ascii="Times New Roman" w:hAnsi="Times New Roman" w:cs="Times New Roman"/>
          <w:iCs/>
          <w:color w:val="000000" w:themeColor="text1"/>
          <w:sz w:val="20"/>
          <w:szCs w:val="20"/>
        </w:rPr>
        <w:t>7% (</w:t>
      </w:r>
      <w:r w:rsidR="00561250" w:rsidRPr="0089336D">
        <w:rPr>
          <w:rFonts w:ascii="Times New Roman" w:hAnsi="Times New Roman" w:cs="Times New Roman"/>
          <w:iCs/>
          <w:color w:val="000000" w:themeColor="text1"/>
          <w:sz w:val="20"/>
          <w:szCs w:val="20"/>
        </w:rPr>
        <w:t>4/61</w:t>
      </w:r>
      <w:r w:rsidR="00E63D9C" w:rsidRPr="0089336D">
        <w:rPr>
          <w:rFonts w:ascii="Times New Roman" w:hAnsi="Times New Roman" w:cs="Times New Roman"/>
          <w:iCs/>
          <w:color w:val="000000" w:themeColor="text1"/>
          <w:sz w:val="20"/>
          <w:szCs w:val="20"/>
        </w:rPr>
        <w:t>)</w:t>
      </w:r>
      <w:r w:rsidRPr="0089336D">
        <w:rPr>
          <w:rFonts w:ascii="Times New Roman" w:hAnsi="Times New Roman" w:cs="Times New Roman"/>
          <w:iCs/>
          <w:color w:val="000000" w:themeColor="text1"/>
          <w:sz w:val="20"/>
          <w:szCs w:val="20"/>
        </w:rPr>
        <w:t xml:space="preserve"> respectively</w:t>
      </w:r>
      <w:r w:rsidR="00E63D9C" w:rsidRPr="0089336D">
        <w:rPr>
          <w:rFonts w:ascii="Times New Roman" w:hAnsi="Times New Roman" w:cs="Times New Roman"/>
          <w:iCs/>
          <w:color w:val="000000" w:themeColor="text1"/>
          <w:sz w:val="20"/>
          <w:szCs w:val="20"/>
        </w:rPr>
        <w:t>.</w:t>
      </w:r>
      <w:r w:rsidR="00087340" w:rsidRPr="0089336D">
        <w:rPr>
          <w:rFonts w:ascii="Times New Roman" w:hAnsi="Times New Roman" w:cs="Times New Roman"/>
          <w:iCs/>
          <w:color w:val="000000" w:themeColor="text1"/>
          <w:sz w:val="20"/>
          <w:szCs w:val="20"/>
        </w:rPr>
        <w:t xml:space="preserve"> Thus, </w:t>
      </w:r>
      <w:r w:rsidR="008F59FF" w:rsidRPr="0089336D">
        <w:rPr>
          <w:rFonts w:ascii="Times New Roman" w:hAnsi="Times New Roman" w:cs="Times New Roman"/>
          <w:iCs/>
          <w:color w:val="000000" w:themeColor="text1"/>
          <w:sz w:val="20"/>
          <w:szCs w:val="20"/>
        </w:rPr>
        <w:t>79.5% continued for 1 year, 68.4</w:t>
      </w:r>
      <w:r w:rsidR="00087340" w:rsidRPr="0089336D">
        <w:rPr>
          <w:rFonts w:ascii="Times New Roman" w:hAnsi="Times New Roman" w:cs="Times New Roman"/>
          <w:iCs/>
          <w:color w:val="000000" w:themeColor="text1"/>
          <w:sz w:val="20"/>
          <w:szCs w:val="20"/>
        </w:rPr>
        <w:t xml:space="preserve">% for 2 years, </w:t>
      </w:r>
      <w:r w:rsidR="008F59FF" w:rsidRPr="0089336D">
        <w:rPr>
          <w:rFonts w:ascii="Times New Roman" w:hAnsi="Times New Roman" w:cs="Times New Roman"/>
          <w:iCs/>
          <w:color w:val="000000" w:themeColor="text1"/>
          <w:sz w:val="20"/>
          <w:szCs w:val="20"/>
        </w:rPr>
        <w:t>55.6</w:t>
      </w:r>
      <w:r w:rsidR="00087340" w:rsidRPr="0089336D">
        <w:rPr>
          <w:rFonts w:ascii="Times New Roman" w:hAnsi="Times New Roman" w:cs="Times New Roman"/>
          <w:iCs/>
          <w:color w:val="000000" w:themeColor="text1"/>
          <w:sz w:val="20"/>
          <w:szCs w:val="20"/>
        </w:rPr>
        <w:t xml:space="preserve">% for 3 years, </w:t>
      </w:r>
      <w:r w:rsidR="008F59FF" w:rsidRPr="0089336D">
        <w:rPr>
          <w:rFonts w:ascii="Times New Roman" w:hAnsi="Times New Roman" w:cs="Times New Roman"/>
          <w:iCs/>
          <w:color w:val="000000" w:themeColor="text1"/>
          <w:sz w:val="20"/>
          <w:szCs w:val="20"/>
        </w:rPr>
        <w:t>52.1</w:t>
      </w:r>
      <w:r w:rsidR="00087340" w:rsidRPr="0089336D">
        <w:rPr>
          <w:rFonts w:ascii="Times New Roman" w:hAnsi="Times New Roman" w:cs="Times New Roman"/>
          <w:iCs/>
          <w:color w:val="000000" w:themeColor="text1"/>
          <w:sz w:val="20"/>
          <w:szCs w:val="20"/>
        </w:rPr>
        <w:t>% for 4 years and 48.7% for the full 5 years</w:t>
      </w:r>
      <w:r w:rsidR="00D728EC">
        <w:rPr>
          <w:rFonts w:ascii="Times New Roman" w:hAnsi="Times New Roman" w:cs="Times New Roman"/>
          <w:iCs/>
          <w:color w:val="000000" w:themeColor="text1"/>
          <w:sz w:val="20"/>
          <w:szCs w:val="20"/>
        </w:rPr>
        <w:t xml:space="preserve"> (table 2)</w:t>
      </w:r>
      <w:r w:rsidR="00087340" w:rsidRPr="0089336D">
        <w:rPr>
          <w:rFonts w:ascii="Times New Roman" w:hAnsi="Times New Roman" w:cs="Times New Roman"/>
          <w:iCs/>
          <w:color w:val="000000" w:themeColor="text1"/>
          <w:sz w:val="20"/>
          <w:szCs w:val="20"/>
        </w:rPr>
        <w:t>.</w:t>
      </w:r>
      <w:r w:rsidR="00BD256A" w:rsidRPr="0089336D">
        <w:rPr>
          <w:rFonts w:ascii="Times New Roman" w:hAnsi="Times New Roman" w:cs="Times New Roman"/>
          <w:iCs/>
          <w:color w:val="000000" w:themeColor="text1"/>
          <w:sz w:val="20"/>
          <w:szCs w:val="20"/>
        </w:rPr>
        <w:t xml:space="preserve"> </w:t>
      </w:r>
      <w:r w:rsidR="00B54B43" w:rsidRPr="0089336D">
        <w:rPr>
          <w:rFonts w:ascii="Times New Roman" w:hAnsi="Times New Roman" w:cs="Times New Roman"/>
          <w:iCs/>
          <w:color w:val="000000" w:themeColor="text1"/>
          <w:sz w:val="20"/>
          <w:szCs w:val="20"/>
        </w:rPr>
        <w:t xml:space="preserve">In total, 77 </w:t>
      </w:r>
      <w:r w:rsidR="00BD256A" w:rsidRPr="0089336D">
        <w:rPr>
          <w:rFonts w:ascii="Times New Roman" w:hAnsi="Times New Roman" w:cs="Times New Roman"/>
          <w:iCs/>
          <w:color w:val="000000" w:themeColor="text1"/>
          <w:sz w:val="20"/>
          <w:szCs w:val="20"/>
        </w:rPr>
        <w:t>patients</w:t>
      </w:r>
      <w:r w:rsidR="00B54B43" w:rsidRPr="0089336D">
        <w:rPr>
          <w:rFonts w:ascii="Times New Roman" w:hAnsi="Times New Roman" w:cs="Times New Roman"/>
          <w:iCs/>
          <w:color w:val="000000" w:themeColor="text1"/>
          <w:sz w:val="20"/>
          <w:szCs w:val="20"/>
        </w:rPr>
        <w:t xml:space="preserve"> </w:t>
      </w:r>
      <w:r w:rsidR="00BD256A" w:rsidRPr="0089336D">
        <w:rPr>
          <w:rFonts w:ascii="Times New Roman" w:hAnsi="Times New Roman" w:cs="Times New Roman"/>
          <w:iCs/>
          <w:color w:val="000000" w:themeColor="text1"/>
          <w:sz w:val="20"/>
          <w:szCs w:val="20"/>
        </w:rPr>
        <w:t>completed 5 years o</w:t>
      </w:r>
      <w:r w:rsidR="004C09B4" w:rsidRPr="0089336D">
        <w:rPr>
          <w:rFonts w:ascii="Times New Roman" w:hAnsi="Times New Roman" w:cs="Times New Roman"/>
          <w:iCs/>
          <w:color w:val="000000" w:themeColor="text1"/>
          <w:sz w:val="20"/>
          <w:szCs w:val="20"/>
        </w:rPr>
        <w:t>n</w:t>
      </w:r>
      <w:r w:rsidR="00BD256A" w:rsidRPr="0089336D">
        <w:rPr>
          <w:rFonts w:ascii="Times New Roman" w:hAnsi="Times New Roman" w:cs="Times New Roman"/>
          <w:iCs/>
          <w:color w:val="000000" w:themeColor="text1"/>
          <w:sz w:val="20"/>
          <w:szCs w:val="20"/>
        </w:rPr>
        <w:t xml:space="preserve"> PP1M</w:t>
      </w:r>
      <w:r w:rsidR="00B54B43" w:rsidRPr="0089336D">
        <w:rPr>
          <w:rFonts w:ascii="Times New Roman" w:hAnsi="Times New Roman" w:cs="Times New Roman"/>
          <w:iCs/>
          <w:color w:val="000000" w:themeColor="text1"/>
          <w:sz w:val="20"/>
          <w:szCs w:val="20"/>
        </w:rPr>
        <w:t>; of these</w:t>
      </w:r>
      <w:r w:rsidR="00CA5664">
        <w:rPr>
          <w:rFonts w:ascii="Times New Roman" w:hAnsi="Times New Roman" w:cs="Times New Roman"/>
          <w:iCs/>
          <w:color w:val="000000" w:themeColor="text1"/>
          <w:sz w:val="20"/>
          <w:szCs w:val="20"/>
        </w:rPr>
        <w:t xml:space="preserve">, </w:t>
      </w:r>
      <w:r w:rsidR="00CA5664" w:rsidRPr="0089336D">
        <w:rPr>
          <w:rFonts w:ascii="Times New Roman" w:hAnsi="Times New Roman" w:cs="Times New Roman"/>
          <w:iCs/>
          <w:color w:val="000000" w:themeColor="text1"/>
          <w:sz w:val="20"/>
          <w:szCs w:val="20"/>
        </w:rPr>
        <w:t>57</w:t>
      </w:r>
      <w:r w:rsidR="00B54B43" w:rsidRPr="0089336D">
        <w:rPr>
          <w:rFonts w:ascii="Times New Roman" w:hAnsi="Times New Roman" w:cs="Times New Roman"/>
          <w:iCs/>
          <w:color w:val="000000" w:themeColor="text1"/>
          <w:sz w:val="20"/>
          <w:szCs w:val="20"/>
        </w:rPr>
        <w:t xml:space="preserve"> patients had a prima</w:t>
      </w:r>
      <w:r w:rsidR="00CD7A77" w:rsidRPr="0089336D">
        <w:rPr>
          <w:rFonts w:ascii="Times New Roman" w:hAnsi="Times New Roman" w:cs="Times New Roman"/>
          <w:iCs/>
          <w:color w:val="000000" w:themeColor="text1"/>
          <w:sz w:val="20"/>
          <w:szCs w:val="20"/>
        </w:rPr>
        <w:t xml:space="preserve">ry diagnosis of </w:t>
      </w:r>
      <w:r w:rsidR="00CA5664">
        <w:rPr>
          <w:rFonts w:ascii="Times New Roman" w:hAnsi="Times New Roman" w:cs="Times New Roman"/>
          <w:iCs/>
          <w:color w:val="000000" w:themeColor="text1"/>
          <w:sz w:val="20"/>
          <w:szCs w:val="20"/>
        </w:rPr>
        <w:t>s</w:t>
      </w:r>
      <w:r w:rsidR="00CD7A77" w:rsidRPr="0089336D">
        <w:rPr>
          <w:rFonts w:ascii="Times New Roman" w:hAnsi="Times New Roman" w:cs="Times New Roman"/>
          <w:iCs/>
          <w:color w:val="000000" w:themeColor="text1"/>
          <w:sz w:val="20"/>
          <w:szCs w:val="20"/>
        </w:rPr>
        <w:t xml:space="preserve">chizophrenia </w:t>
      </w:r>
      <w:r w:rsidR="00CA5664">
        <w:rPr>
          <w:rFonts w:ascii="Times New Roman" w:hAnsi="Times New Roman" w:cs="Times New Roman"/>
          <w:iCs/>
          <w:color w:val="000000" w:themeColor="text1"/>
          <w:sz w:val="20"/>
          <w:szCs w:val="20"/>
        </w:rPr>
        <w:t>(T</w:t>
      </w:r>
      <w:r w:rsidR="00CD7A77" w:rsidRPr="0089336D">
        <w:rPr>
          <w:rFonts w:ascii="Times New Roman" w:hAnsi="Times New Roman" w:cs="Times New Roman"/>
          <w:iCs/>
          <w:color w:val="000000" w:themeColor="text1"/>
          <w:sz w:val="20"/>
          <w:szCs w:val="20"/>
        </w:rPr>
        <w:t>able 2</w:t>
      </w:r>
      <w:r w:rsidR="00CA5664">
        <w:rPr>
          <w:rFonts w:ascii="Times New Roman" w:hAnsi="Times New Roman" w:cs="Times New Roman"/>
          <w:iCs/>
          <w:color w:val="000000" w:themeColor="text1"/>
          <w:sz w:val="20"/>
          <w:szCs w:val="20"/>
        </w:rPr>
        <w:t>)</w:t>
      </w:r>
      <w:r w:rsidR="00CD7A77" w:rsidRPr="0089336D">
        <w:rPr>
          <w:rFonts w:ascii="Times New Roman" w:hAnsi="Times New Roman" w:cs="Times New Roman"/>
          <w:iCs/>
          <w:color w:val="000000" w:themeColor="text1"/>
          <w:sz w:val="20"/>
          <w:szCs w:val="20"/>
        </w:rPr>
        <w:t>.</w:t>
      </w:r>
    </w:p>
    <w:p w14:paraId="5398B2B6" w14:textId="77777777" w:rsidR="00E45BE3" w:rsidRPr="0089336D" w:rsidRDefault="00E45BE3" w:rsidP="007F1E72">
      <w:pPr>
        <w:pStyle w:val="NoSpacing"/>
        <w:jc w:val="both"/>
        <w:rPr>
          <w:rFonts w:ascii="Times New Roman" w:hAnsi="Times New Roman" w:cs="Times New Roman"/>
          <w:iCs/>
          <w:color w:val="000000" w:themeColor="text1"/>
          <w:sz w:val="20"/>
          <w:szCs w:val="20"/>
        </w:rPr>
      </w:pPr>
    </w:p>
    <w:bookmarkEnd w:id="0"/>
    <w:p w14:paraId="62CA5925" w14:textId="40532F26" w:rsidR="0029033D" w:rsidRPr="0089336D" w:rsidRDefault="009E49FB" w:rsidP="007F1E72">
      <w:pPr>
        <w:pStyle w:val="NoSpacing"/>
        <w:jc w:val="both"/>
        <w:rPr>
          <w:rFonts w:ascii="Times New Roman" w:hAnsi="Times New Roman" w:cs="Times New Roman"/>
          <w:iCs/>
          <w:sz w:val="20"/>
          <w:szCs w:val="20"/>
        </w:rPr>
      </w:pPr>
      <w:r w:rsidRPr="0089336D">
        <w:rPr>
          <w:rFonts w:ascii="Times New Roman" w:hAnsi="Times New Roman" w:cs="Times New Roman"/>
          <w:iCs/>
          <w:sz w:val="20"/>
          <w:szCs w:val="20"/>
        </w:rPr>
        <w:t xml:space="preserve">The main reasons for discontinuation </w:t>
      </w:r>
      <w:r w:rsidR="00CD7A77" w:rsidRPr="0089336D">
        <w:rPr>
          <w:rFonts w:ascii="Times New Roman" w:hAnsi="Times New Roman" w:cs="Times New Roman"/>
          <w:iCs/>
          <w:sz w:val="20"/>
          <w:szCs w:val="20"/>
        </w:rPr>
        <w:t>(</w:t>
      </w:r>
      <w:r w:rsidR="00CA5664">
        <w:rPr>
          <w:rFonts w:ascii="Times New Roman" w:hAnsi="Times New Roman" w:cs="Times New Roman"/>
          <w:iCs/>
          <w:sz w:val="20"/>
          <w:szCs w:val="20"/>
        </w:rPr>
        <w:t>T</w:t>
      </w:r>
      <w:r w:rsidR="00CD7A77" w:rsidRPr="0089336D">
        <w:rPr>
          <w:rFonts w:ascii="Times New Roman" w:hAnsi="Times New Roman" w:cs="Times New Roman"/>
          <w:iCs/>
          <w:sz w:val="20"/>
          <w:szCs w:val="20"/>
        </w:rPr>
        <w:t xml:space="preserve">able </w:t>
      </w:r>
      <w:r w:rsidR="00715FDB">
        <w:rPr>
          <w:rFonts w:ascii="Times New Roman" w:hAnsi="Times New Roman" w:cs="Times New Roman"/>
          <w:iCs/>
          <w:sz w:val="20"/>
          <w:szCs w:val="20"/>
        </w:rPr>
        <w:t>3</w:t>
      </w:r>
      <w:r w:rsidR="00CD7A77" w:rsidRPr="0089336D">
        <w:rPr>
          <w:rFonts w:ascii="Times New Roman" w:hAnsi="Times New Roman" w:cs="Times New Roman"/>
          <w:iCs/>
          <w:sz w:val="20"/>
          <w:szCs w:val="20"/>
        </w:rPr>
        <w:t>)</w:t>
      </w:r>
      <w:r w:rsidR="00742985" w:rsidRPr="0089336D">
        <w:rPr>
          <w:rFonts w:ascii="Times New Roman" w:hAnsi="Times New Roman" w:cs="Times New Roman"/>
          <w:iCs/>
          <w:sz w:val="20"/>
          <w:szCs w:val="20"/>
        </w:rPr>
        <w:t xml:space="preserve"> included poor tolerability</w:t>
      </w:r>
      <w:r w:rsidRPr="0089336D">
        <w:rPr>
          <w:rFonts w:ascii="Times New Roman" w:hAnsi="Times New Roman" w:cs="Times New Roman"/>
          <w:iCs/>
          <w:sz w:val="20"/>
          <w:szCs w:val="20"/>
        </w:rPr>
        <w:t xml:space="preserve">, ineffectiveness of the medication and poor medication </w:t>
      </w:r>
      <w:r w:rsidR="008F59FF" w:rsidRPr="0089336D">
        <w:rPr>
          <w:rFonts w:ascii="Times New Roman" w:hAnsi="Times New Roman" w:cs="Times New Roman"/>
          <w:iCs/>
          <w:sz w:val="20"/>
          <w:szCs w:val="20"/>
        </w:rPr>
        <w:t>adherence</w:t>
      </w:r>
      <w:r w:rsidRPr="0089336D">
        <w:rPr>
          <w:rFonts w:ascii="Times New Roman" w:hAnsi="Times New Roman" w:cs="Times New Roman"/>
          <w:iCs/>
          <w:sz w:val="20"/>
          <w:szCs w:val="20"/>
        </w:rPr>
        <w:t>.</w:t>
      </w:r>
      <w:r w:rsidR="0029033D" w:rsidRPr="0089336D">
        <w:rPr>
          <w:rFonts w:ascii="Times New Roman" w:hAnsi="Times New Roman" w:cs="Times New Roman"/>
          <w:iCs/>
          <w:sz w:val="20"/>
          <w:szCs w:val="20"/>
        </w:rPr>
        <w:t xml:space="preserve"> </w:t>
      </w:r>
      <w:r w:rsidR="00A7112C" w:rsidRPr="0089336D">
        <w:rPr>
          <w:rFonts w:ascii="Times New Roman" w:hAnsi="Times New Roman" w:cs="Times New Roman"/>
          <w:iCs/>
          <w:sz w:val="20"/>
          <w:szCs w:val="20"/>
        </w:rPr>
        <w:t>Notably, PP1M was discontinue</w:t>
      </w:r>
      <w:r w:rsidR="00742985" w:rsidRPr="0089336D">
        <w:rPr>
          <w:rFonts w:ascii="Times New Roman" w:hAnsi="Times New Roman" w:cs="Times New Roman"/>
          <w:iCs/>
          <w:sz w:val="20"/>
          <w:szCs w:val="20"/>
        </w:rPr>
        <w:t>d due to ineffectiveness in 17</w:t>
      </w:r>
      <w:r w:rsidR="00A7112C" w:rsidRPr="0089336D">
        <w:rPr>
          <w:rFonts w:ascii="Times New Roman" w:hAnsi="Times New Roman" w:cs="Times New Roman"/>
          <w:iCs/>
          <w:sz w:val="20"/>
          <w:szCs w:val="20"/>
        </w:rPr>
        <w:t xml:space="preserve">% (20/117) of patients with schizophrenia, but in only 8% (4/50) in patients with other diagnoses. Poor tolerability </w:t>
      </w:r>
      <w:r w:rsidR="006F1575" w:rsidRPr="0089336D">
        <w:rPr>
          <w:rFonts w:ascii="Times New Roman" w:hAnsi="Times New Roman" w:cs="Times New Roman"/>
          <w:iCs/>
          <w:sz w:val="20"/>
          <w:szCs w:val="20"/>
        </w:rPr>
        <w:t>led</w:t>
      </w:r>
      <w:r w:rsidR="00742985" w:rsidRPr="0089336D">
        <w:rPr>
          <w:rFonts w:ascii="Times New Roman" w:hAnsi="Times New Roman" w:cs="Times New Roman"/>
          <w:iCs/>
          <w:sz w:val="20"/>
          <w:szCs w:val="20"/>
        </w:rPr>
        <w:t xml:space="preserve"> to discontinuation in 17</w:t>
      </w:r>
      <w:r w:rsidR="00A7112C" w:rsidRPr="0089336D">
        <w:rPr>
          <w:rFonts w:ascii="Times New Roman" w:hAnsi="Times New Roman" w:cs="Times New Roman"/>
          <w:iCs/>
          <w:sz w:val="20"/>
          <w:szCs w:val="20"/>
        </w:rPr>
        <w:t xml:space="preserve">% (20/117) of patients with </w:t>
      </w:r>
      <w:r w:rsidR="00CA5664">
        <w:rPr>
          <w:rFonts w:ascii="Times New Roman" w:hAnsi="Times New Roman" w:cs="Times New Roman"/>
          <w:iCs/>
          <w:sz w:val="20"/>
          <w:szCs w:val="20"/>
        </w:rPr>
        <w:t>s</w:t>
      </w:r>
      <w:r w:rsidR="00A7112C" w:rsidRPr="0089336D">
        <w:rPr>
          <w:rFonts w:ascii="Times New Roman" w:hAnsi="Times New Roman" w:cs="Times New Roman"/>
          <w:iCs/>
          <w:sz w:val="20"/>
          <w:szCs w:val="20"/>
        </w:rPr>
        <w:t>chizophrenia, but in the other diagnoses group this figure reached 26% (13/50).</w:t>
      </w:r>
      <w:r w:rsidR="0029033D" w:rsidRPr="0089336D">
        <w:rPr>
          <w:rFonts w:ascii="Times New Roman" w:hAnsi="Times New Roman" w:cs="Times New Roman"/>
          <w:iCs/>
          <w:sz w:val="20"/>
          <w:szCs w:val="20"/>
        </w:rPr>
        <w:t xml:space="preserve"> </w:t>
      </w:r>
      <w:r w:rsidR="00B77D33" w:rsidRPr="0089336D">
        <w:rPr>
          <w:rFonts w:ascii="Times New Roman" w:hAnsi="Times New Roman" w:cs="Times New Roman"/>
          <w:iCs/>
          <w:sz w:val="20"/>
          <w:szCs w:val="20"/>
        </w:rPr>
        <w:t xml:space="preserve">Tolerability was only recorded if it caused discontinuation. </w:t>
      </w:r>
      <w:r w:rsidR="00345AA1" w:rsidRPr="0089336D">
        <w:rPr>
          <w:rFonts w:ascii="Times New Roman" w:hAnsi="Times New Roman" w:cs="Times New Roman"/>
          <w:color w:val="000000"/>
          <w:sz w:val="20"/>
          <w:szCs w:val="20"/>
        </w:rPr>
        <w:t>Out of the 33 patients who discontinued due to tolerability issues 4/33 (12%) were due to extra-pyramidal side effects, 1/33 (3%) weight gain, 3/33 (9%) hyperprolactinaemia, 3/33 (9%) sedation, 1/33 (3%) sexual dysfunction, 17/33 (52%) were in the “other” category</w:t>
      </w:r>
      <w:r w:rsidR="00B77D33" w:rsidRPr="0089336D">
        <w:rPr>
          <w:rFonts w:ascii="Times New Roman" w:hAnsi="Times New Roman" w:cs="Times New Roman"/>
          <w:color w:val="000000"/>
          <w:sz w:val="20"/>
          <w:szCs w:val="20"/>
        </w:rPr>
        <w:t xml:space="preserve"> when there was a combination of side effects</w:t>
      </w:r>
      <w:r w:rsidR="00345AA1" w:rsidRPr="0089336D">
        <w:rPr>
          <w:rFonts w:ascii="Times New Roman" w:hAnsi="Times New Roman" w:cs="Times New Roman"/>
          <w:color w:val="000000"/>
          <w:sz w:val="20"/>
          <w:szCs w:val="20"/>
        </w:rPr>
        <w:t>, and in 4/33 (12%) the tolerability issue was unknown</w:t>
      </w:r>
      <w:r w:rsidR="00B77D33" w:rsidRPr="0089336D">
        <w:rPr>
          <w:rFonts w:ascii="Times New Roman" w:hAnsi="Times New Roman" w:cs="Times New Roman"/>
          <w:color w:val="000000"/>
          <w:sz w:val="20"/>
          <w:szCs w:val="20"/>
        </w:rPr>
        <w:t xml:space="preserve"> or not clearly recorded.</w:t>
      </w:r>
    </w:p>
    <w:p w14:paraId="66A3F72A" w14:textId="77777777" w:rsidR="0029033D" w:rsidRPr="0089336D" w:rsidRDefault="0029033D" w:rsidP="007F1E72">
      <w:pPr>
        <w:pStyle w:val="NoSpacing"/>
        <w:jc w:val="both"/>
        <w:rPr>
          <w:rFonts w:ascii="Times New Roman" w:hAnsi="Times New Roman" w:cs="Times New Roman"/>
          <w:iCs/>
          <w:sz w:val="20"/>
          <w:szCs w:val="20"/>
        </w:rPr>
      </w:pPr>
    </w:p>
    <w:p w14:paraId="016F464F" w14:textId="4BF6CE1B" w:rsidR="00E45BE3" w:rsidRPr="0089336D" w:rsidRDefault="00133581" w:rsidP="007F1E72">
      <w:pPr>
        <w:pStyle w:val="NoSpacing"/>
        <w:jc w:val="both"/>
        <w:rPr>
          <w:rFonts w:ascii="Times New Roman" w:hAnsi="Times New Roman" w:cs="Times New Roman"/>
          <w:iCs/>
          <w:sz w:val="20"/>
          <w:szCs w:val="20"/>
        </w:rPr>
      </w:pPr>
      <w:r w:rsidRPr="0089336D">
        <w:rPr>
          <w:rFonts w:ascii="Times New Roman" w:hAnsi="Times New Roman" w:cs="Times New Roman"/>
          <w:iCs/>
          <w:sz w:val="20"/>
          <w:szCs w:val="20"/>
        </w:rPr>
        <w:t xml:space="preserve">A multivariate logistic analysis was used to calculate whether there were significant differences in demographic and clinical characteristics between the group of patients who continued on </w:t>
      </w:r>
      <w:r w:rsidR="006F1575" w:rsidRPr="0089336D">
        <w:rPr>
          <w:rFonts w:ascii="Times New Roman" w:hAnsi="Times New Roman" w:cs="Times New Roman"/>
          <w:iCs/>
          <w:sz w:val="20"/>
          <w:szCs w:val="20"/>
        </w:rPr>
        <w:t>PP1M</w:t>
      </w:r>
      <w:r w:rsidRPr="0089336D">
        <w:rPr>
          <w:rFonts w:ascii="Times New Roman" w:hAnsi="Times New Roman" w:cs="Times New Roman"/>
          <w:iCs/>
          <w:sz w:val="20"/>
          <w:szCs w:val="20"/>
        </w:rPr>
        <w:t xml:space="preserve"> for </w:t>
      </w:r>
      <w:r w:rsidR="006F1575" w:rsidRPr="0089336D">
        <w:rPr>
          <w:rFonts w:ascii="Times New Roman" w:hAnsi="Times New Roman" w:cs="Times New Roman"/>
          <w:iCs/>
          <w:sz w:val="20"/>
          <w:szCs w:val="20"/>
        </w:rPr>
        <w:t>5</w:t>
      </w:r>
      <w:r w:rsidRPr="0089336D">
        <w:rPr>
          <w:rFonts w:ascii="Times New Roman" w:hAnsi="Times New Roman" w:cs="Times New Roman"/>
          <w:iCs/>
          <w:sz w:val="20"/>
          <w:szCs w:val="20"/>
        </w:rPr>
        <w:t xml:space="preserve"> years versus those</w:t>
      </w:r>
      <w:r w:rsidR="00375F15" w:rsidRPr="0089336D">
        <w:rPr>
          <w:rFonts w:ascii="Times New Roman" w:hAnsi="Times New Roman" w:cs="Times New Roman"/>
          <w:iCs/>
          <w:sz w:val="20"/>
          <w:szCs w:val="20"/>
        </w:rPr>
        <w:t xml:space="preserve"> who discontinued as outlined in </w:t>
      </w:r>
      <w:r w:rsidR="00A8057D">
        <w:rPr>
          <w:rFonts w:ascii="Times New Roman" w:hAnsi="Times New Roman" w:cs="Times New Roman"/>
          <w:iCs/>
          <w:sz w:val="20"/>
          <w:szCs w:val="20"/>
        </w:rPr>
        <w:t>t</w:t>
      </w:r>
      <w:r w:rsidRPr="0089336D">
        <w:rPr>
          <w:rFonts w:ascii="Times New Roman" w:hAnsi="Times New Roman" w:cs="Times New Roman"/>
          <w:iCs/>
          <w:sz w:val="20"/>
          <w:szCs w:val="20"/>
        </w:rPr>
        <w:t xml:space="preserve">able </w:t>
      </w:r>
      <w:r w:rsidR="00B42FAB">
        <w:rPr>
          <w:rFonts w:ascii="Times New Roman" w:hAnsi="Times New Roman" w:cs="Times New Roman"/>
          <w:iCs/>
          <w:sz w:val="20"/>
          <w:szCs w:val="20"/>
        </w:rPr>
        <w:t>4</w:t>
      </w:r>
      <w:r w:rsidR="00375F15" w:rsidRPr="0089336D">
        <w:rPr>
          <w:rFonts w:ascii="Times New Roman" w:hAnsi="Times New Roman" w:cs="Times New Roman"/>
          <w:iCs/>
          <w:sz w:val="20"/>
          <w:szCs w:val="20"/>
        </w:rPr>
        <w:t xml:space="preserve"> </w:t>
      </w:r>
      <w:r w:rsidR="008843CF" w:rsidRPr="0089336D">
        <w:rPr>
          <w:rFonts w:ascii="Times New Roman" w:hAnsi="Times New Roman" w:cs="Times New Roman"/>
          <w:iCs/>
          <w:sz w:val="20"/>
          <w:szCs w:val="20"/>
        </w:rPr>
        <w:t>and post hoc corrections</w:t>
      </w:r>
      <w:r w:rsidR="008F59FF" w:rsidRPr="0089336D">
        <w:rPr>
          <w:rFonts w:ascii="Times New Roman" w:hAnsi="Times New Roman" w:cs="Times New Roman"/>
          <w:iCs/>
          <w:sz w:val="20"/>
          <w:szCs w:val="20"/>
        </w:rPr>
        <w:t xml:space="preserve"> were</w:t>
      </w:r>
      <w:r w:rsidR="008843CF" w:rsidRPr="0089336D">
        <w:rPr>
          <w:rFonts w:ascii="Times New Roman" w:hAnsi="Times New Roman" w:cs="Times New Roman"/>
          <w:iCs/>
          <w:sz w:val="20"/>
          <w:szCs w:val="20"/>
        </w:rPr>
        <w:t xml:space="preserve"> </w:t>
      </w:r>
      <w:r w:rsidR="00375F15" w:rsidRPr="0089336D">
        <w:rPr>
          <w:rFonts w:ascii="Times New Roman" w:hAnsi="Times New Roman" w:cs="Times New Roman"/>
          <w:iCs/>
          <w:sz w:val="20"/>
          <w:szCs w:val="20"/>
        </w:rPr>
        <w:t xml:space="preserve">completed accordingly; the main predictor of continuation was switching from an oral or depot formulation of risperidone. </w:t>
      </w:r>
      <w:r w:rsidR="006A1263" w:rsidRPr="0089336D">
        <w:rPr>
          <w:rFonts w:ascii="Times New Roman" w:hAnsi="Times New Roman" w:cs="Times New Roman"/>
          <w:color w:val="000000"/>
          <w:sz w:val="20"/>
          <w:szCs w:val="20"/>
          <w:shd w:val="clear" w:color="auto" w:fill="FFFFFF"/>
        </w:rPr>
        <w:t>Oral</w:t>
      </w:r>
      <w:r w:rsidR="00F62B10">
        <w:rPr>
          <w:rFonts w:ascii="Times New Roman" w:hAnsi="Times New Roman" w:cs="Times New Roman"/>
          <w:color w:val="000000"/>
          <w:sz w:val="20"/>
          <w:szCs w:val="20"/>
          <w:shd w:val="clear" w:color="auto" w:fill="FFFFFF"/>
        </w:rPr>
        <w:t xml:space="preserve"> paliperidone</w:t>
      </w:r>
      <w:r w:rsidR="006A1263" w:rsidRPr="0089336D">
        <w:rPr>
          <w:rFonts w:ascii="Times New Roman" w:hAnsi="Times New Roman" w:cs="Times New Roman"/>
          <w:color w:val="000000"/>
          <w:sz w:val="20"/>
          <w:szCs w:val="20"/>
          <w:shd w:val="clear" w:color="auto" w:fill="FFFFFF"/>
        </w:rPr>
        <w:t xml:space="preserve"> is rarely prescribed in the UK, initially </w:t>
      </w:r>
      <w:r w:rsidR="00F62B10">
        <w:rPr>
          <w:rFonts w:ascii="Times New Roman" w:hAnsi="Times New Roman" w:cs="Times New Roman"/>
          <w:color w:val="000000"/>
          <w:sz w:val="20"/>
          <w:szCs w:val="20"/>
          <w:shd w:val="clear" w:color="auto" w:fill="FFFFFF"/>
        </w:rPr>
        <w:t xml:space="preserve">due </w:t>
      </w:r>
      <w:r w:rsidR="006A1263" w:rsidRPr="0089336D">
        <w:rPr>
          <w:rFonts w:ascii="Times New Roman" w:hAnsi="Times New Roman" w:cs="Times New Roman"/>
          <w:color w:val="000000"/>
          <w:sz w:val="20"/>
          <w:szCs w:val="20"/>
          <w:shd w:val="clear" w:color="auto" w:fill="FFFFFF"/>
        </w:rPr>
        <w:t xml:space="preserve">to the favourable costs of Risperidone </w:t>
      </w:r>
      <w:r w:rsidR="00A63137" w:rsidRPr="0089336D">
        <w:rPr>
          <w:rFonts w:ascii="Times New Roman" w:hAnsi="Times New Roman" w:cs="Times New Roman"/>
          <w:color w:val="000000"/>
          <w:sz w:val="20"/>
          <w:szCs w:val="20"/>
          <w:shd w:val="clear" w:color="auto" w:fill="FFFFFF"/>
        </w:rPr>
        <w:t xml:space="preserve">[21] </w:t>
      </w:r>
      <w:r w:rsidR="006A1263" w:rsidRPr="0089336D">
        <w:rPr>
          <w:rFonts w:ascii="Times New Roman" w:hAnsi="Times New Roman" w:cs="Times New Roman"/>
          <w:color w:val="000000"/>
          <w:sz w:val="20"/>
          <w:szCs w:val="20"/>
          <w:shd w:val="clear" w:color="auto" w:fill="FFFFFF"/>
        </w:rPr>
        <w:t>which continue</w:t>
      </w:r>
      <w:r w:rsidR="00784A3F">
        <w:rPr>
          <w:rFonts w:ascii="Times New Roman" w:hAnsi="Times New Roman" w:cs="Times New Roman"/>
          <w:color w:val="000000"/>
          <w:sz w:val="20"/>
          <w:szCs w:val="20"/>
          <w:shd w:val="clear" w:color="auto" w:fill="FFFFFF"/>
        </w:rPr>
        <w:t>d</w:t>
      </w:r>
      <w:r w:rsidR="006A1263" w:rsidRPr="0089336D">
        <w:rPr>
          <w:rFonts w:ascii="Times New Roman" w:hAnsi="Times New Roman" w:cs="Times New Roman"/>
          <w:color w:val="000000"/>
          <w:sz w:val="20"/>
          <w:szCs w:val="20"/>
          <w:shd w:val="clear" w:color="auto" w:fill="FFFFFF"/>
        </w:rPr>
        <w:t xml:space="preserve"> to be preferred, thus it was not used in our patient population.</w:t>
      </w:r>
    </w:p>
    <w:p w14:paraId="271F872F" w14:textId="77777777" w:rsidR="00375F15" w:rsidRPr="0089336D" w:rsidRDefault="00375F15" w:rsidP="007F1E72">
      <w:pPr>
        <w:pStyle w:val="NoSpacing"/>
        <w:jc w:val="both"/>
        <w:rPr>
          <w:rFonts w:ascii="Times New Roman" w:hAnsi="Times New Roman" w:cs="Times New Roman"/>
          <w:iCs/>
          <w:color w:val="FF0000"/>
          <w:sz w:val="20"/>
          <w:szCs w:val="20"/>
        </w:rPr>
      </w:pPr>
    </w:p>
    <w:p w14:paraId="7ABF104F" w14:textId="55258C6A" w:rsidR="00EB1C86" w:rsidRPr="0089336D" w:rsidRDefault="00E75C14" w:rsidP="00734987">
      <w:pPr>
        <w:pStyle w:val="Heading2"/>
        <w:rPr>
          <w:rFonts w:ascii="Times New Roman" w:hAnsi="Times New Roman" w:cs="Times New Roman"/>
          <w:sz w:val="20"/>
          <w:szCs w:val="20"/>
        </w:rPr>
      </w:pPr>
      <w:r w:rsidRPr="0089336D">
        <w:rPr>
          <w:rFonts w:ascii="Times New Roman" w:hAnsi="Times New Roman" w:cs="Times New Roman"/>
          <w:sz w:val="20"/>
          <w:szCs w:val="20"/>
        </w:rPr>
        <w:t xml:space="preserve">3.2 </w:t>
      </w:r>
      <w:r w:rsidR="000C3033" w:rsidRPr="0089336D">
        <w:rPr>
          <w:rFonts w:ascii="Times New Roman" w:hAnsi="Times New Roman" w:cs="Times New Roman"/>
          <w:sz w:val="20"/>
          <w:szCs w:val="20"/>
        </w:rPr>
        <w:t>Hospitalisation rates</w:t>
      </w:r>
    </w:p>
    <w:p w14:paraId="3DA6EE98" w14:textId="77777777" w:rsidR="007F1E72" w:rsidRPr="0089336D" w:rsidRDefault="007F1E72" w:rsidP="007F1E72">
      <w:pPr>
        <w:pStyle w:val="NoSpacing"/>
        <w:jc w:val="both"/>
        <w:rPr>
          <w:rFonts w:ascii="Times New Roman" w:hAnsi="Times New Roman" w:cs="Times New Roman"/>
          <w:iCs/>
          <w:sz w:val="20"/>
          <w:szCs w:val="20"/>
        </w:rPr>
      </w:pPr>
    </w:p>
    <w:p w14:paraId="754F6E0A" w14:textId="5244ABFB" w:rsidR="00CD2009" w:rsidRPr="0089336D" w:rsidRDefault="000C3033" w:rsidP="007F1E72">
      <w:pPr>
        <w:pStyle w:val="NoSpacing"/>
        <w:jc w:val="both"/>
        <w:rPr>
          <w:rFonts w:ascii="Times New Roman" w:hAnsi="Times New Roman" w:cs="Times New Roman"/>
          <w:iCs/>
          <w:sz w:val="20"/>
          <w:szCs w:val="20"/>
        </w:rPr>
      </w:pPr>
      <w:r w:rsidRPr="0089336D">
        <w:rPr>
          <w:rFonts w:ascii="Times New Roman" w:hAnsi="Times New Roman" w:cs="Times New Roman"/>
          <w:iCs/>
          <w:sz w:val="20"/>
          <w:szCs w:val="20"/>
        </w:rPr>
        <w:t xml:space="preserve">In the patients who continued with PP1M for 5 years (n=77), the mean number of admissions decreased from 1.84 </w:t>
      </w:r>
      <w:r w:rsidR="00F3409B">
        <w:rPr>
          <w:rFonts w:ascii="Times New Roman" w:hAnsi="Times New Roman" w:cs="Times New Roman"/>
          <w:iCs/>
          <w:sz w:val="20"/>
          <w:szCs w:val="20"/>
        </w:rPr>
        <w:t xml:space="preserve">(SD 2.3) </w:t>
      </w:r>
      <w:r w:rsidRPr="0089336D">
        <w:rPr>
          <w:rFonts w:ascii="Times New Roman" w:hAnsi="Times New Roman" w:cs="Times New Roman"/>
          <w:iCs/>
          <w:sz w:val="20"/>
          <w:szCs w:val="20"/>
        </w:rPr>
        <w:t>per patient in the 5 years prior to PP1M initiation to 0.51</w:t>
      </w:r>
      <w:r w:rsidR="00F3409B">
        <w:rPr>
          <w:rFonts w:ascii="Times New Roman" w:hAnsi="Times New Roman" w:cs="Times New Roman"/>
          <w:iCs/>
          <w:sz w:val="20"/>
          <w:szCs w:val="20"/>
        </w:rPr>
        <w:t xml:space="preserve"> (SD 1.2) </w:t>
      </w:r>
      <w:r w:rsidRPr="0089336D">
        <w:rPr>
          <w:rFonts w:ascii="Times New Roman" w:hAnsi="Times New Roman" w:cs="Times New Roman"/>
          <w:iCs/>
          <w:sz w:val="20"/>
          <w:szCs w:val="20"/>
        </w:rPr>
        <w:t>in the 5 years after initiation</w:t>
      </w:r>
      <w:r w:rsidR="00CD2009" w:rsidRPr="0089336D">
        <w:rPr>
          <w:rFonts w:ascii="Times New Roman" w:hAnsi="Times New Roman" w:cs="Times New Roman"/>
          <w:iCs/>
          <w:sz w:val="20"/>
          <w:szCs w:val="20"/>
        </w:rPr>
        <w:t xml:space="preserve"> (</w:t>
      </w:r>
      <w:r w:rsidR="00CD7A77" w:rsidRPr="0089336D">
        <w:rPr>
          <w:rFonts w:ascii="Times New Roman" w:hAnsi="Times New Roman" w:cs="Times New Roman"/>
          <w:iCs/>
          <w:sz w:val="20"/>
          <w:szCs w:val="20"/>
        </w:rPr>
        <w:t>Figures 1 &amp; 2</w:t>
      </w:r>
      <w:r w:rsidR="00CD2009" w:rsidRPr="0089336D">
        <w:rPr>
          <w:rFonts w:ascii="Times New Roman" w:hAnsi="Times New Roman" w:cs="Times New Roman"/>
          <w:iCs/>
          <w:sz w:val="20"/>
          <w:szCs w:val="20"/>
        </w:rPr>
        <w:t>)</w:t>
      </w:r>
      <w:r w:rsidRPr="0089336D">
        <w:rPr>
          <w:rFonts w:ascii="Times New Roman" w:hAnsi="Times New Roman" w:cs="Times New Roman"/>
          <w:iCs/>
          <w:sz w:val="20"/>
          <w:szCs w:val="20"/>
        </w:rPr>
        <w:t xml:space="preserve"> </w:t>
      </w:r>
      <w:r w:rsidR="00CD2009" w:rsidRPr="0089336D">
        <w:rPr>
          <w:rFonts w:ascii="Times New Roman" w:hAnsi="Times New Roman" w:cs="Times New Roman"/>
          <w:iCs/>
          <w:sz w:val="20"/>
          <w:szCs w:val="20"/>
        </w:rPr>
        <w:t>and the median number of admissions fell from 1 to 0 (P&lt;0.00</w:t>
      </w:r>
      <w:r w:rsidR="008528ED" w:rsidRPr="0089336D">
        <w:rPr>
          <w:rFonts w:ascii="Times New Roman" w:hAnsi="Times New Roman" w:cs="Times New Roman"/>
          <w:iCs/>
          <w:sz w:val="20"/>
          <w:szCs w:val="20"/>
        </w:rPr>
        <w:t>0</w:t>
      </w:r>
      <w:r w:rsidR="00CD2009" w:rsidRPr="0089336D">
        <w:rPr>
          <w:rFonts w:ascii="Times New Roman" w:hAnsi="Times New Roman" w:cs="Times New Roman"/>
          <w:iCs/>
          <w:sz w:val="20"/>
          <w:szCs w:val="20"/>
        </w:rPr>
        <w:t>, Wilcoxon signed-rank test)</w:t>
      </w:r>
      <w:r w:rsidR="007A13E7" w:rsidRPr="0089336D">
        <w:rPr>
          <w:rFonts w:ascii="Times New Roman" w:hAnsi="Times New Roman" w:cs="Times New Roman"/>
          <w:iCs/>
          <w:sz w:val="20"/>
          <w:szCs w:val="20"/>
        </w:rPr>
        <w:t>. Similarly, the mean length of admission fell from 102.3</w:t>
      </w:r>
      <w:r w:rsidR="00F3409B">
        <w:rPr>
          <w:rFonts w:ascii="Times New Roman" w:hAnsi="Times New Roman" w:cs="Times New Roman"/>
          <w:iCs/>
          <w:sz w:val="20"/>
          <w:szCs w:val="20"/>
        </w:rPr>
        <w:t xml:space="preserve"> (SD 145.7)</w:t>
      </w:r>
      <w:r w:rsidR="007A13E7" w:rsidRPr="0089336D">
        <w:rPr>
          <w:rFonts w:ascii="Times New Roman" w:hAnsi="Times New Roman" w:cs="Times New Roman"/>
          <w:iCs/>
          <w:sz w:val="20"/>
          <w:szCs w:val="20"/>
        </w:rPr>
        <w:t xml:space="preserve"> days in the 5 years </w:t>
      </w:r>
      <w:r w:rsidR="009D6E66" w:rsidRPr="0089336D">
        <w:rPr>
          <w:rFonts w:ascii="Times New Roman" w:hAnsi="Times New Roman" w:cs="Times New Roman"/>
          <w:iCs/>
          <w:sz w:val="20"/>
          <w:szCs w:val="20"/>
        </w:rPr>
        <w:t>pre-</w:t>
      </w:r>
      <w:r w:rsidR="007A13E7" w:rsidRPr="0089336D">
        <w:rPr>
          <w:rFonts w:ascii="Times New Roman" w:hAnsi="Times New Roman" w:cs="Times New Roman"/>
          <w:iCs/>
          <w:sz w:val="20"/>
          <w:szCs w:val="20"/>
        </w:rPr>
        <w:t>PP1M initiation to 32.7</w:t>
      </w:r>
      <w:r w:rsidR="00F3409B">
        <w:rPr>
          <w:rFonts w:ascii="Times New Roman" w:hAnsi="Times New Roman" w:cs="Times New Roman"/>
          <w:iCs/>
          <w:sz w:val="20"/>
          <w:szCs w:val="20"/>
        </w:rPr>
        <w:t xml:space="preserve"> (SD 77.4)</w:t>
      </w:r>
      <w:r w:rsidR="007A13E7" w:rsidRPr="0089336D">
        <w:rPr>
          <w:rFonts w:ascii="Times New Roman" w:hAnsi="Times New Roman" w:cs="Times New Roman"/>
          <w:iCs/>
          <w:sz w:val="20"/>
          <w:szCs w:val="20"/>
        </w:rPr>
        <w:t xml:space="preserve"> days in the 5 years </w:t>
      </w:r>
      <w:r w:rsidR="009D6E66" w:rsidRPr="0089336D">
        <w:rPr>
          <w:rFonts w:ascii="Times New Roman" w:hAnsi="Times New Roman" w:cs="Times New Roman"/>
          <w:iCs/>
          <w:sz w:val="20"/>
          <w:szCs w:val="20"/>
        </w:rPr>
        <w:t>post-</w:t>
      </w:r>
      <w:r w:rsidR="005966E4" w:rsidRPr="0089336D">
        <w:rPr>
          <w:rFonts w:ascii="Times New Roman" w:hAnsi="Times New Roman" w:cs="Times New Roman"/>
          <w:iCs/>
          <w:sz w:val="20"/>
          <w:szCs w:val="20"/>
        </w:rPr>
        <w:t xml:space="preserve">PP1M </w:t>
      </w:r>
      <w:r w:rsidR="007A13E7" w:rsidRPr="0089336D">
        <w:rPr>
          <w:rFonts w:ascii="Times New Roman" w:hAnsi="Times New Roman" w:cs="Times New Roman"/>
          <w:iCs/>
          <w:sz w:val="20"/>
          <w:szCs w:val="20"/>
        </w:rPr>
        <w:t>initiation</w:t>
      </w:r>
      <w:r w:rsidR="00CD7A77" w:rsidRPr="0089336D">
        <w:rPr>
          <w:rFonts w:ascii="Times New Roman" w:hAnsi="Times New Roman" w:cs="Times New Roman"/>
          <w:iCs/>
          <w:sz w:val="20"/>
          <w:szCs w:val="20"/>
        </w:rPr>
        <w:t xml:space="preserve"> (Figures </w:t>
      </w:r>
      <w:r w:rsidR="006C0235" w:rsidRPr="0089336D">
        <w:rPr>
          <w:rFonts w:ascii="Times New Roman" w:hAnsi="Times New Roman" w:cs="Times New Roman"/>
          <w:iCs/>
          <w:sz w:val="20"/>
          <w:szCs w:val="20"/>
        </w:rPr>
        <w:t>3&amp;4</w:t>
      </w:r>
      <w:r w:rsidR="005966E4" w:rsidRPr="0089336D">
        <w:rPr>
          <w:rFonts w:ascii="Times New Roman" w:hAnsi="Times New Roman" w:cs="Times New Roman"/>
          <w:iCs/>
          <w:sz w:val="20"/>
          <w:szCs w:val="20"/>
        </w:rPr>
        <w:t>) while the median length of admission fell from 49 days to 0 days in the same period</w:t>
      </w:r>
      <w:r w:rsidR="008528ED" w:rsidRPr="0089336D">
        <w:rPr>
          <w:rFonts w:ascii="Times New Roman" w:hAnsi="Times New Roman" w:cs="Times New Roman"/>
          <w:iCs/>
          <w:sz w:val="20"/>
          <w:szCs w:val="20"/>
        </w:rPr>
        <w:t xml:space="preserve"> </w:t>
      </w:r>
      <w:r w:rsidR="009D6E66" w:rsidRPr="0089336D">
        <w:rPr>
          <w:rFonts w:ascii="Times New Roman" w:hAnsi="Times New Roman" w:cs="Times New Roman"/>
          <w:iCs/>
          <w:sz w:val="20"/>
          <w:szCs w:val="20"/>
        </w:rPr>
        <w:t>(P&lt;0.000, Wilcoxon signed-rank test).</w:t>
      </w:r>
    </w:p>
    <w:p w14:paraId="240A3A1D" w14:textId="77777777" w:rsidR="00CD7A77" w:rsidRPr="0089336D" w:rsidRDefault="00CD7A77" w:rsidP="007F1E72">
      <w:pPr>
        <w:pStyle w:val="NoSpacing"/>
        <w:jc w:val="both"/>
        <w:rPr>
          <w:rFonts w:ascii="Times New Roman" w:hAnsi="Times New Roman" w:cs="Times New Roman"/>
          <w:iCs/>
          <w:sz w:val="20"/>
          <w:szCs w:val="20"/>
        </w:rPr>
      </w:pPr>
    </w:p>
    <w:p w14:paraId="57E929EA" w14:textId="2123F617" w:rsidR="00264ADB" w:rsidRPr="0089336D" w:rsidRDefault="00264ADB" w:rsidP="007F1E72">
      <w:pPr>
        <w:pStyle w:val="NoSpacing"/>
        <w:jc w:val="both"/>
        <w:rPr>
          <w:rFonts w:ascii="Times New Roman" w:hAnsi="Times New Roman" w:cs="Times New Roman"/>
          <w:sz w:val="20"/>
          <w:szCs w:val="20"/>
        </w:rPr>
      </w:pPr>
      <w:r w:rsidRPr="0089336D">
        <w:rPr>
          <w:rFonts w:ascii="Times New Roman" w:hAnsi="Times New Roman" w:cs="Times New Roman"/>
          <w:iCs/>
          <w:sz w:val="20"/>
          <w:szCs w:val="20"/>
        </w:rPr>
        <w:lastRenderedPageBreak/>
        <w:t xml:space="preserve">The </w:t>
      </w:r>
      <w:r w:rsidR="00B94086">
        <w:rPr>
          <w:rFonts w:ascii="Times New Roman" w:hAnsi="Times New Roman" w:cs="Times New Roman"/>
          <w:iCs/>
          <w:sz w:val="20"/>
          <w:szCs w:val="20"/>
        </w:rPr>
        <w:t>s</w:t>
      </w:r>
      <w:r w:rsidR="006417CC" w:rsidRPr="0089336D">
        <w:rPr>
          <w:rFonts w:ascii="Times New Roman" w:hAnsi="Times New Roman" w:cs="Times New Roman"/>
          <w:iCs/>
          <w:sz w:val="20"/>
          <w:szCs w:val="20"/>
        </w:rPr>
        <w:t xml:space="preserve">chizophrenia patient group who completed 5 years of PPM1 (n=57) also demonstrated statistically significant reductions in number </w:t>
      </w:r>
      <w:r w:rsidR="006C0235" w:rsidRPr="0089336D">
        <w:rPr>
          <w:rFonts w:ascii="Times New Roman" w:hAnsi="Times New Roman" w:cs="Times New Roman"/>
          <w:iCs/>
          <w:sz w:val="20"/>
          <w:szCs w:val="20"/>
        </w:rPr>
        <w:t xml:space="preserve">(Figures 1&amp;2) </w:t>
      </w:r>
      <w:r w:rsidR="006417CC" w:rsidRPr="0089336D">
        <w:rPr>
          <w:rFonts w:ascii="Times New Roman" w:hAnsi="Times New Roman" w:cs="Times New Roman"/>
          <w:iCs/>
          <w:sz w:val="20"/>
          <w:szCs w:val="20"/>
        </w:rPr>
        <w:t xml:space="preserve">and length </w:t>
      </w:r>
      <w:r w:rsidR="006C0235" w:rsidRPr="0089336D">
        <w:rPr>
          <w:rFonts w:ascii="Times New Roman" w:hAnsi="Times New Roman" w:cs="Times New Roman"/>
          <w:iCs/>
          <w:sz w:val="20"/>
          <w:szCs w:val="20"/>
        </w:rPr>
        <w:t xml:space="preserve">(Figures 3&amp;4) </w:t>
      </w:r>
      <w:r w:rsidR="006417CC" w:rsidRPr="0089336D">
        <w:rPr>
          <w:rFonts w:ascii="Times New Roman" w:hAnsi="Times New Roman" w:cs="Times New Roman"/>
          <w:iCs/>
          <w:sz w:val="20"/>
          <w:szCs w:val="20"/>
        </w:rPr>
        <w:t xml:space="preserve">of admissions. </w:t>
      </w:r>
      <w:r w:rsidR="00FE0184" w:rsidRPr="0089336D">
        <w:rPr>
          <w:rFonts w:ascii="Times New Roman" w:hAnsi="Times New Roman" w:cs="Times New Roman"/>
          <w:iCs/>
          <w:sz w:val="20"/>
          <w:szCs w:val="20"/>
        </w:rPr>
        <w:t>In the 5 years pre-PP1M initiation to the 5 years post</w:t>
      </w:r>
      <w:r w:rsidR="00B94086">
        <w:rPr>
          <w:rFonts w:ascii="Times New Roman" w:hAnsi="Times New Roman" w:cs="Times New Roman"/>
          <w:iCs/>
          <w:sz w:val="20"/>
          <w:szCs w:val="20"/>
        </w:rPr>
        <w:t>-treatment</w:t>
      </w:r>
      <w:r w:rsidR="00FE0184" w:rsidRPr="0089336D">
        <w:rPr>
          <w:rFonts w:ascii="Times New Roman" w:hAnsi="Times New Roman" w:cs="Times New Roman"/>
          <w:iCs/>
          <w:sz w:val="20"/>
          <w:szCs w:val="20"/>
        </w:rPr>
        <w:t>, the mean number of admissions decreased from 1.72</w:t>
      </w:r>
      <w:r w:rsidR="00684DDB">
        <w:rPr>
          <w:rFonts w:ascii="Times New Roman" w:hAnsi="Times New Roman" w:cs="Times New Roman"/>
          <w:iCs/>
          <w:sz w:val="20"/>
          <w:szCs w:val="20"/>
        </w:rPr>
        <w:t xml:space="preserve"> (S</w:t>
      </w:r>
      <w:r w:rsidR="002C044B">
        <w:rPr>
          <w:rFonts w:ascii="Times New Roman" w:hAnsi="Times New Roman" w:cs="Times New Roman"/>
          <w:iCs/>
          <w:sz w:val="20"/>
          <w:szCs w:val="20"/>
        </w:rPr>
        <w:t xml:space="preserve">tandard </w:t>
      </w:r>
      <w:r w:rsidR="00684DDB">
        <w:rPr>
          <w:rFonts w:ascii="Times New Roman" w:hAnsi="Times New Roman" w:cs="Times New Roman"/>
          <w:iCs/>
          <w:sz w:val="20"/>
          <w:szCs w:val="20"/>
        </w:rPr>
        <w:t>D</w:t>
      </w:r>
      <w:r w:rsidR="002C044B">
        <w:rPr>
          <w:rFonts w:ascii="Times New Roman" w:hAnsi="Times New Roman" w:cs="Times New Roman"/>
          <w:iCs/>
          <w:sz w:val="20"/>
          <w:szCs w:val="20"/>
        </w:rPr>
        <w:t>eviation [SD]</w:t>
      </w:r>
      <w:r w:rsidR="00684DDB">
        <w:rPr>
          <w:rFonts w:ascii="Times New Roman" w:hAnsi="Times New Roman" w:cs="Times New Roman"/>
          <w:iCs/>
          <w:sz w:val="20"/>
          <w:szCs w:val="20"/>
        </w:rPr>
        <w:t xml:space="preserve"> 2.3)</w:t>
      </w:r>
      <w:r w:rsidR="00FE0184" w:rsidRPr="0089336D">
        <w:rPr>
          <w:rFonts w:ascii="Times New Roman" w:hAnsi="Times New Roman" w:cs="Times New Roman"/>
          <w:iCs/>
          <w:sz w:val="20"/>
          <w:szCs w:val="20"/>
        </w:rPr>
        <w:t xml:space="preserve"> to 0.61</w:t>
      </w:r>
      <w:r w:rsidR="00684DDB">
        <w:rPr>
          <w:rFonts w:ascii="Times New Roman" w:hAnsi="Times New Roman" w:cs="Times New Roman"/>
          <w:iCs/>
          <w:sz w:val="20"/>
          <w:szCs w:val="20"/>
        </w:rPr>
        <w:t xml:space="preserve"> (SD, 1.2)</w:t>
      </w:r>
      <w:r w:rsidR="00FE0184" w:rsidRPr="0089336D">
        <w:rPr>
          <w:rFonts w:ascii="Times New Roman" w:hAnsi="Times New Roman" w:cs="Times New Roman"/>
          <w:iCs/>
          <w:sz w:val="20"/>
          <w:szCs w:val="20"/>
        </w:rPr>
        <w:t xml:space="preserve"> (P&lt;0.001, Wilcoxon signed-rank test) while the mean length decreased from 103.04</w:t>
      </w:r>
      <w:r w:rsidR="006A1263" w:rsidRPr="0089336D">
        <w:rPr>
          <w:rFonts w:ascii="Times New Roman" w:hAnsi="Times New Roman" w:cs="Times New Roman"/>
          <w:iCs/>
          <w:sz w:val="20"/>
          <w:szCs w:val="20"/>
        </w:rPr>
        <w:t xml:space="preserve"> days</w:t>
      </w:r>
      <w:r w:rsidR="00684DDB">
        <w:rPr>
          <w:rFonts w:ascii="Times New Roman" w:hAnsi="Times New Roman" w:cs="Times New Roman"/>
          <w:iCs/>
          <w:sz w:val="20"/>
          <w:szCs w:val="20"/>
        </w:rPr>
        <w:t xml:space="preserve"> (SD 156.7) </w:t>
      </w:r>
      <w:r w:rsidR="00FE0184" w:rsidRPr="0089336D">
        <w:rPr>
          <w:rFonts w:ascii="Times New Roman" w:hAnsi="Times New Roman" w:cs="Times New Roman"/>
          <w:iCs/>
          <w:sz w:val="20"/>
          <w:szCs w:val="20"/>
        </w:rPr>
        <w:t xml:space="preserve"> to 28.61</w:t>
      </w:r>
      <w:r w:rsidR="006A1263" w:rsidRPr="0089336D">
        <w:rPr>
          <w:rFonts w:ascii="Times New Roman" w:hAnsi="Times New Roman" w:cs="Times New Roman"/>
          <w:iCs/>
          <w:sz w:val="20"/>
          <w:szCs w:val="20"/>
        </w:rPr>
        <w:t xml:space="preserve"> </w:t>
      </w:r>
      <w:r w:rsidR="00684DDB">
        <w:rPr>
          <w:rFonts w:ascii="Times New Roman" w:hAnsi="Times New Roman" w:cs="Times New Roman"/>
          <w:iCs/>
          <w:sz w:val="20"/>
          <w:szCs w:val="20"/>
        </w:rPr>
        <w:t xml:space="preserve">(SD 63.0) </w:t>
      </w:r>
      <w:r w:rsidR="006A1263" w:rsidRPr="0089336D">
        <w:rPr>
          <w:rFonts w:ascii="Times New Roman" w:hAnsi="Times New Roman" w:cs="Times New Roman"/>
          <w:iCs/>
          <w:sz w:val="20"/>
          <w:szCs w:val="20"/>
        </w:rPr>
        <w:t xml:space="preserve">days </w:t>
      </w:r>
      <w:r w:rsidR="00FE0184" w:rsidRPr="0089336D">
        <w:rPr>
          <w:rFonts w:ascii="Times New Roman" w:hAnsi="Times New Roman" w:cs="Times New Roman"/>
          <w:iCs/>
          <w:sz w:val="20"/>
          <w:szCs w:val="20"/>
        </w:rPr>
        <w:t>(P&lt;0.001, Wilcoxon signed-rank test).</w:t>
      </w:r>
      <w:r w:rsidR="005C2510" w:rsidRPr="0089336D">
        <w:rPr>
          <w:rFonts w:ascii="Times New Roman" w:hAnsi="Times New Roman" w:cs="Times New Roman"/>
          <w:color w:val="FF0000"/>
          <w:sz w:val="20"/>
          <w:szCs w:val="20"/>
        </w:rPr>
        <w:t xml:space="preserve"> </w:t>
      </w:r>
    </w:p>
    <w:p w14:paraId="723D4962" w14:textId="77777777" w:rsidR="00734987" w:rsidRPr="0089336D" w:rsidRDefault="00734987" w:rsidP="00734987">
      <w:pPr>
        <w:pStyle w:val="NoSpacing"/>
        <w:jc w:val="both"/>
        <w:rPr>
          <w:rFonts w:ascii="Times New Roman" w:hAnsi="Times New Roman" w:cs="Times New Roman"/>
          <w:iCs/>
          <w:sz w:val="20"/>
          <w:szCs w:val="20"/>
        </w:rPr>
      </w:pPr>
    </w:p>
    <w:p w14:paraId="6E670F84" w14:textId="7EC639A0" w:rsidR="00E00125" w:rsidRDefault="00B77D33" w:rsidP="0089336D">
      <w:pPr>
        <w:pStyle w:val="NoSpacing"/>
        <w:jc w:val="both"/>
        <w:rPr>
          <w:rFonts w:ascii="Times New Roman" w:hAnsi="Times New Roman" w:cs="Times New Roman"/>
          <w:sz w:val="20"/>
          <w:szCs w:val="20"/>
        </w:rPr>
      </w:pPr>
      <w:r w:rsidRPr="0089336D">
        <w:rPr>
          <w:rFonts w:ascii="Times New Roman" w:hAnsi="Times New Roman" w:cs="Times New Roman"/>
          <w:sz w:val="20"/>
          <w:szCs w:val="20"/>
        </w:rPr>
        <w:t>The</w:t>
      </w:r>
      <w:r w:rsidR="00784A3F">
        <w:rPr>
          <w:rFonts w:ascii="Times New Roman" w:hAnsi="Times New Roman" w:cs="Times New Roman"/>
          <w:sz w:val="20"/>
          <w:szCs w:val="20"/>
        </w:rPr>
        <w:t>re was no</w:t>
      </w:r>
      <w:r w:rsidR="008E0077">
        <w:rPr>
          <w:rFonts w:ascii="Times New Roman" w:hAnsi="Times New Roman" w:cs="Times New Roman"/>
          <w:sz w:val="20"/>
          <w:szCs w:val="20"/>
        </w:rPr>
        <w:t xml:space="preserve"> significant</w:t>
      </w:r>
      <w:r w:rsidR="00784A3F">
        <w:rPr>
          <w:rFonts w:ascii="Times New Roman" w:hAnsi="Times New Roman" w:cs="Times New Roman"/>
          <w:sz w:val="20"/>
          <w:szCs w:val="20"/>
        </w:rPr>
        <w:t xml:space="preserve"> improvement in</w:t>
      </w:r>
      <w:r w:rsidRPr="0089336D">
        <w:rPr>
          <w:rFonts w:ascii="Times New Roman" w:hAnsi="Times New Roman" w:cs="Times New Roman"/>
          <w:sz w:val="20"/>
          <w:szCs w:val="20"/>
        </w:rPr>
        <w:t xml:space="preserve"> hospitalisation rates </w:t>
      </w:r>
      <w:r w:rsidR="008E0077">
        <w:rPr>
          <w:rFonts w:ascii="Times New Roman" w:hAnsi="Times New Roman" w:cs="Times New Roman"/>
          <w:sz w:val="20"/>
          <w:szCs w:val="20"/>
        </w:rPr>
        <w:t xml:space="preserve">in </w:t>
      </w:r>
      <w:r w:rsidRPr="0089336D">
        <w:rPr>
          <w:rFonts w:ascii="Times New Roman" w:hAnsi="Times New Roman" w:cs="Times New Roman"/>
          <w:sz w:val="20"/>
          <w:szCs w:val="20"/>
        </w:rPr>
        <w:t>the group of discontinuers</w:t>
      </w:r>
      <w:r w:rsidR="002E0C96" w:rsidRPr="0089336D">
        <w:rPr>
          <w:rFonts w:ascii="Times New Roman" w:hAnsi="Times New Roman" w:cs="Times New Roman"/>
          <w:sz w:val="20"/>
          <w:szCs w:val="20"/>
        </w:rPr>
        <w:t xml:space="preserve"> (n=90)</w:t>
      </w:r>
      <w:r w:rsidRPr="0089336D">
        <w:rPr>
          <w:rFonts w:ascii="Times New Roman" w:hAnsi="Times New Roman" w:cs="Times New Roman"/>
          <w:sz w:val="20"/>
          <w:szCs w:val="20"/>
        </w:rPr>
        <w:t xml:space="preserve"> as shown in figures 2&amp;4 both for the total cohort and for </w:t>
      </w:r>
      <w:r w:rsidR="002E0C96" w:rsidRPr="0089336D">
        <w:rPr>
          <w:rFonts w:ascii="Times New Roman" w:hAnsi="Times New Roman" w:cs="Times New Roman"/>
          <w:sz w:val="20"/>
          <w:szCs w:val="20"/>
        </w:rPr>
        <w:t xml:space="preserve">the </w:t>
      </w:r>
      <w:r w:rsidRPr="0089336D">
        <w:rPr>
          <w:rFonts w:ascii="Times New Roman" w:hAnsi="Times New Roman" w:cs="Times New Roman"/>
          <w:sz w:val="20"/>
          <w:szCs w:val="20"/>
        </w:rPr>
        <w:t xml:space="preserve">patients with schizophrenia. There was </w:t>
      </w:r>
      <w:r w:rsidR="002E0C96" w:rsidRPr="0089336D">
        <w:rPr>
          <w:rFonts w:ascii="Times New Roman" w:hAnsi="Times New Roman" w:cs="Times New Roman"/>
          <w:sz w:val="20"/>
          <w:szCs w:val="20"/>
        </w:rPr>
        <w:t xml:space="preserve">only </w:t>
      </w:r>
      <w:r w:rsidRPr="0089336D">
        <w:rPr>
          <w:rFonts w:ascii="Times New Roman" w:hAnsi="Times New Roman" w:cs="Times New Roman"/>
          <w:sz w:val="20"/>
          <w:szCs w:val="20"/>
        </w:rPr>
        <w:t xml:space="preserve">a modest reduction in </w:t>
      </w:r>
      <w:r w:rsidR="002E0C96" w:rsidRPr="0089336D">
        <w:rPr>
          <w:rFonts w:ascii="Times New Roman" w:hAnsi="Times New Roman" w:cs="Times New Roman"/>
          <w:sz w:val="20"/>
          <w:szCs w:val="20"/>
        </w:rPr>
        <w:t>the mean number of admission</w:t>
      </w:r>
      <w:r w:rsidR="00E00125">
        <w:rPr>
          <w:rFonts w:ascii="Times New Roman" w:hAnsi="Times New Roman" w:cs="Times New Roman"/>
          <w:sz w:val="20"/>
          <w:szCs w:val="20"/>
        </w:rPr>
        <w:t>s; 2.04 (SD 1.8) to 1.47 (SD 1.8) in the all patient group and 1.71</w:t>
      </w:r>
      <w:r w:rsidR="002C044B">
        <w:rPr>
          <w:rFonts w:ascii="Times New Roman" w:hAnsi="Times New Roman" w:cs="Times New Roman"/>
          <w:sz w:val="20"/>
          <w:szCs w:val="20"/>
        </w:rPr>
        <w:t xml:space="preserve"> (SD 1.5) </w:t>
      </w:r>
      <w:r w:rsidR="00E00125">
        <w:rPr>
          <w:rFonts w:ascii="Times New Roman" w:hAnsi="Times New Roman" w:cs="Times New Roman"/>
          <w:sz w:val="20"/>
          <w:szCs w:val="20"/>
        </w:rPr>
        <w:t xml:space="preserve"> to 1.41</w:t>
      </w:r>
      <w:r w:rsidR="002C044B">
        <w:rPr>
          <w:rFonts w:ascii="Times New Roman" w:hAnsi="Times New Roman" w:cs="Times New Roman"/>
          <w:sz w:val="20"/>
          <w:szCs w:val="20"/>
        </w:rPr>
        <w:t xml:space="preserve"> (SD 1.7)</w:t>
      </w:r>
      <w:r w:rsidR="00E00125">
        <w:rPr>
          <w:rFonts w:ascii="Times New Roman" w:hAnsi="Times New Roman" w:cs="Times New Roman"/>
          <w:sz w:val="20"/>
          <w:szCs w:val="20"/>
        </w:rPr>
        <w:t xml:space="preserve"> in the schizophrenia patient group. In terms of the mean length of admissions there was </w:t>
      </w:r>
      <w:r w:rsidR="002E0C96" w:rsidRPr="0089336D">
        <w:rPr>
          <w:rFonts w:ascii="Times New Roman" w:hAnsi="Times New Roman" w:cs="Times New Roman"/>
          <w:sz w:val="20"/>
          <w:szCs w:val="20"/>
        </w:rPr>
        <w:t>increase in duration of hospital stay in the five years after compared to the five years pre-PPM1 initiation</w:t>
      </w:r>
      <w:r w:rsidR="00E00125">
        <w:rPr>
          <w:rFonts w:ascii="Times New Roman" w:hAnsi="Times New Roman" w:cs="Times New Roman"/>
          <w:sz w:val="20"/>
          <w:szCs w:val="20"/>
        </w:rPr>
        <w:t>; 97.16 (SD 113.1) to 131.31 (SD 127.9) days in the all patient group and 82.59</w:t>
      </w:r>
      <w:r w:rsidR="002C044B">
        <w:rPr>
          <w:rFonts w:ascii="Times New Roman" w:hAnsi="Times New Roman" w:cs="Times New Roman"/>
          <w:sz w:val="20"/>
          <w:szCs w:val="20"/>
        </w:rPr>
        <w:t xml:space="preserve"> (89.9)</w:t>
      </w:r>
      <w:r w:rsidR="00E00125">
        <w:rPr>
          <w:rFonts w:ascii="Times New Roman" w:hAnsi="Times New Roman" w:cs="Times New Roman"/>
          <w:sz w:val="20"/>
          <w:szCs w:val="20"/>
        </w:rPr>
        <w:t xml:space="preserve"> to 112.46</w:t>
      </w:r>
      <w:r w:rsidR="002C044B">
        <w:rPr>
          <w:rFonts w:ascii="Times New Roman" w:hAnsi="Times New Roman" w:cs="Times New Roman"/>
          <w:sz w:val="20"/>
          <w:szCs w:val="20"/>
        </w:rPr>
        <w:t xml:space="preserve"> (113.9)</w:t>
      </w:r>
      <w:r w:rsidR="00E00125">
        <w:rPr>
          <w:rFonts w:ascii="Times New Roman" w:hAnsi="Times New Roman" w:cs="Times New Roman"/>
          <w:sz w:val="20"/>
          <w:szCs w:val="20"/>
        </w:rPr>
        <w:t xml:space="preserve"> in the schizophrenia patient group. </w:t>
      </w:r>
    </w:p>
    <w:p w14:paraId="247D637D" w14:textId="59F7E251" w:rsidR="00836F64" w:rsidRPr="0089336D" w:rsidRDefault="00836F64" w:rsidP="0089336D">
      <w:pPr>
        <w:pStyle w:val="NoSpacing"/>
        <w:jc w:val="both"/>
        <w:rPr>
          <w:rFonts w:ascii="Times New Roman" w:hAnsi="Times New Roman" w:cs="Times New Roman"/>
          <w:sz w:val="20"/>
          <w:szCs w:val="20"/>
        </w:rPr>
      </w:pPr>
    </w:p>
    <w:p w14:paraId="2823392B" w14:textId="277F8E82" w:rsidR="0089336D" w:rsidRPr="00AA5B69" w:rsidRDefault="00E75C14" w:rsidP="00AA5B69">
      <w:pPr>
        <w:pStyle w:val="Heading1"/>
        <w:rPr>
          <w:rFonts w:eastAsia="Calibri"/>
          <w:sz w:val="24"/>
          <w:szCs w:val="24"/>
        </w:rPr>
      </w:pPr>
      <w:bookmarkStart w:id="1" w:name="_Hlk83038028"/>
      <w:r w:rsidRPr="00AA5B69">
        <w:rPr>
          <w:rFonts w:eastAsia="Calibri"/>
          <w:sz w:val="24"/>
          <w:szCs w:val="24"/>
        </w:rPr>
        <w:t xml:space="preserve">4.0 </w:t>
      </w:r>
      <w:r w:rsidR="002224C2" w:rsidRPr="00AA5B69">
        <w:rPr>
          <w:rFonts w:eastAsia="Calibri"/>
          <w:sz w:val="24"/>
          <w:szCs w:val="24"/>
        </w:rPr>
        <w:t>Discussion</w:t>
      </w:r>
    </w:p>
    <w:p w14:paraId="638AD436" w14:textId="77777777" w:rsidR="0089336D" w:rsidRPr="0089336D" w:rsidRDefault="0089336D" w:rsidP="0089336D"/>
    <w:p w14:paraId="756870D3" w14:textId="4A2EDF8B" w:rsidR="00825EE3" w:rsidRPr="0089336D" w:rsidRDefault="009A5906" w:rsidP="00B94086">
      <w:pPr>
        <w:spacing w:after="160" w:line="259" w:lineRule="auto"/>
        <w:jc w:val="both"/>
        <w:rPr>
          <w:rFonts w:ascii="Times New Roman" w:eastAsia="Calibri" w:hAnsi="Times New Roman" w:cs="Times New Roman"/>
          <w:bCs/>
          <w:iCs/>
          <w:sz w:val="20"/>
          <w:szCs w:val="20"/>
        </w:rPr>
      </w:pPr>
      <w:r w:rsidRPr="0089336D">
        <w:rPr>
          <w:rFonts w:ascii="Times New Roman" w:eastAsia="Calibri" w:hAnsi="Times New Roman" w:cs="Times New Roman"/>
          <w:bCs/>
          <w:iCs/>
          <w:sz w:val="20"/>
          <w:szCs w:val="20"/>
        </w:rPr>
        <w:t>Our study has one of the longest duration of follow up of a naturalistic cohort treated with</w:t>
      </w:r>
      <w:r w:rsidR="00381289" w:rsidRPr="0089336D">
        <w:rPr>
          <w:rFonts w:ascii="Times New Roman" w:eastAsia="Calibri" w:hAnsi="Times New Roman" w:cs="Times New Roman"/>
          <w:bCs/>
          <w:iCs/>
          <w:sz w:val="20"/>
          <w:szCs w:val="20"/>
        </w:rPr>
        <w:t xml:space="preserve"> a</w:t>
      </w:r>
      <w:r w:rsidRPr="0089336D">
        <w:rPr>
          <w:rFonts w:ascii="Times New Roman" w:eastAsia="Calibri" w:hAnsi="Times New Roman" w:cs="Times New Roman"/>
          <w:bCs/>
          <w:iCs/>
          <w:sz w:val="20"/>
          <w:szCs w:val="20"/>
        </w:rPr>
        <w:t xml:space="preserve"> </w:t>
      </w:r>
      <w:r w:rsidR="00DD74F8">
        <w:rPr>
          <w:rFonts w:ascii="Times New Roman" w:eastAsia="Calibri" w:hAnsi="Times New Roman" w:cs="Times New Roman"/>
          <w:bCs/>
          <w:iCs/>
          <w:sz w:val="20"/>
          <w:szCs w:val="20"/>
        </w:rPr>
        <w:t>LAI</w:t>
      </w:r>
      <w:r w:rsidRPr="0089336D">
        <w:rPr>
          <w:rFonts w:ascii="Times New Roman" w:eastAsia="Calibri" w:hAnsi="Times New Roman" w:cs="Times New Roman"/>
          <w:bCs/>
          <w:iCs/>
          <w:sz w:val="20"/>
          <w:szCs w:val="20"/>
        </w:rPr>
        <w:t xml:space="preserve"> antipsychotic medication. The introduction of PP1M </w:t>
      </w:r>
      <w:r w:rsidR="009A5109" w:rsidRPr="0089336D">
        <w:rPr>
          <w:rFonts w:ascii="Times New Roman" w:eastAsia="Calibri" w:hAnsi="Times New Roman" w:cs="Times New Roman"/>
          <w:bCs/>
          <w:iCs/>
          <w:sz w:val="20"/>
          <w:szCs w:val="20"/>
        </w:rPr>
        <w:t xml:space="preserve">was associated with high </w:t>
      </w:r>
      <w:r w:rsidR="00100A4E" w:rsidRPr="0089336D">
        <w:rPr>
          <w:rFonts w:ascii="Times New Roman" w:eastAsia="Calibri" w:hAnsi="Times New Roman" w:cs="Times New Roman"/>
          <w:bCs/>
          <w:iCs/>
          <w:sz w:val="20"/>
          <w:szCs w:val="20"/>
        </w:rPr>
        <w:t xml:space="preserve">continuation </w:t>
      </w:r>
      <w:r w:rsidR="009A5109" w:rsidRPr="0089336D">
        <w:rPr>
          <w:rFonts w:ascii="Times New Roman" w:eastAsia="Calibri" w:hAnsi="Times New Roman" w:cs="Times New Roman"/>
          <w:bCs/>
          <w:iCs/>
          <w:sz w:val="20"/>
          <w:szCs w:val="20"/>
        </w:rPr>
        <w:t>and low hospitalisation rates</w:t>
      </w:r>
      <w:r w:rsidR="00B94086">
        <w:rPr>
          <w:rFonts w:ascii="Times New Roman" w:eastAsia="Calibri" w:hAnsi="Times New Roman" w:cs="Times New Roman"/>
          <w:bCs/>
          <w:iCs/>
          <w:sz w:val="20"/>
          <w:szCs w:val="20"/>
        </w:rPr>
        <w:t>,</w:t>
      </w:r>
      <w:r w:rsidR="009A5109" w:rsidRPr="0089336D">
        <w:rPr>
          <w:rFonts w:ascii="Times New Roman" w:eastAsia="Calibri" w:hAnsi="Times New Roman" w:cs="Times New Roman"/>
          <w:bCs/>
          <w:iCs/>
          <w:sz w:val="20"/>
          <w:szCs w:val="20"/>
        </w:rPr>
        <w:t xml:space="preserve"> which were sustained into the </w:t>
      </w:r>
      <w:r w:rsidR="00BB0C0D" w:rsidRPr="0089336D">
        <w:rPr>
          <w:rFonts w:ascii="Times New Roman" w:eastAsia="Calibri" w:hAnsi="Times New Roman" w:cs="Times New Roman"/>
          <w:bCs/>
          <w:iCs/>
          <w:sz w:val="20"/>
          <w:szCs w:val="20"/>
        </w:rPr>
        <w:t xml:space="preserve">fifth year of treatment: almost half of patients were still continuing on PP1M at 5 years after initiation and more than half had no </w:t>
      </w:r>
      <w:r w:rsidR="00BC684D" w:rsidRPr="0089336D">
        <w:rPr>
          <w:rFonts w:ascii="Times New Roman" w:eastAsia="Calibri" w:hAnsi="Times New Roman" w:cs="Times New Roman"/>
          <w:bCs/>
          <w:iCs/>
          <w:sz w:val="20"/>
          <w:szCs w:val="20"/>
        </w:rPr>
        <w:t xml:space="preserve">hospital </w:t>
      </w:r>
      <w:r w:rsidR="00BB0C0D" w:rsidRPr="0089336D">
        <w:rPr>
          <w:rFonts w:ascii="Times New Roman" w:eastAsia="Calibri" w:hAnsi="Times New Roman" w:cs="Times New Roman"/>
          <w:bCs/>
          <w:iCs/>
          <w:sz w:val="20"/>
          <w:szCs w:val="20"/>
        </w:rPr>
        <w:t xml:space="preserve">admission during follow-up. </w:t>
      </w:r>
      <w:r w:rsidR="00BC684D" w:rsidRPr="0089336D">
        <w:rPr>
          <w:rFonts w:ascii="Times New Roman" w:eastAsia="Calibri" w:hAnsi="Times New Roman" w:cs="Times New Roman"/>
          <w:bCs/>
          <w:iCs/>
          <w:sz w:val="20"/>
          <w:szCs w:val="20"/>
        </w:rPr>
        <w:t xml:space="preserve">This was </w:t>
      </w:r>
      <w:r w:rsidR="00601C4C">
        <w:rPr>
          <w:rFonts w:ascii="Times New Roman" w:eastAsia="Calibri" w:hAnsi="Times New Roman" w:cs="Times New Roman"/>
          <w:bCs/>
          <w:iCs/>
          <w:sz w:val="20"/>
          <w:szCs w:val="20"/>
        </w:rPr>
        <w:t>not the case</w:t>
      </w:r>
      <w:r w:rsidR="00BC684D" w:rsidRPr="0089336D">
        <w:rPr>
          <w:rFonts w:ascii="Times New Roman" w:eastAsia="Calibri" w:hAnsi="Times New Roman" w:cs="Times New Roman"/>
          <w:bCs/>
          <w:iCs/>
          <w:sz w:val="20"/>
          <w:szCs w:val="20"/>
        </w:rPr>
        <w:t xml:space="preserve"> for the </w:t>
      </w:r>
      <w:r w:rsidR="00B57D99" w:rsidRPr="0089336D">
        <w:rPr>
          <w:rFonts w:ascii="Times New Roman" w:eastAsia="Calibri" w:hAnsi="Times New Roman" w:cs="Times New Roman"/>
          <w:bCs/>
          <w:iCs/>
          <w:sz w:val="20"/>
          <w:szCs w:val="20"/>
        </w:rPr>
        <w:t xml:space="preserve">group of </w:t>
      </w:r>
      <w:r w:rsidR="00BC684D" w:rsidRPr="0089336D">
        <w:rPr>
          <w:rFonts w:ascii="Times New Roman" w:eastAsia="Calibri" w:hAnsi="Times New Roman" w:cs="Times New Roman"/>
          <w:bCs/>
          <w:iCs/>
          <w:sz w:val="20"/>
          <w:szCs w:val="20"/>
        </w:rPr>
        <w:t xml:space="preserve">discontinuers who performed worse than the continuers.  </w:t>
      </w:r>
      <w:r w:rsidR="009A5109" w:rsidRPr="0089336D">
        <w:rPr>
          <w:rFonts w:ascii="Times New Roman" w:eastAsia="Calibri" w:hAnsi="Times New Roman" w:cs="Times New Roman"/>
          <w:bCs/>
          <w:iCs/>
          <w:sz w:val="20"/>
          <w:szCs w:val="20"/>
        </w:rPr>
        <w:t xml:space="preserve"> </w:t>
      </w:r>
    </w:p>
    <w:p w14:paraId="5C28D74F" w14:textId="67692390" w:rsidR="00825EE3" w:rsidRPr="0089336D" w:rsidRDefault="00E75C14" w:rsidP="00734987">
      <w:pPr>
        <w:pStyle w:val="Heading2"/>
        <w:rPr>
          <w:rFonts w:ascii="Times New Roman" w:eastAsia="Calibri" w:hAnsi="Times New Roman" w:cs="Times New Roman"/>
          <w:sz w:val="20"/>
          <w:szCs w:val="20"/>
        </w:rPr>
      </w:pPr>
      <w:r w:rsidRPr="0089336D">
        <w:rPr>
          <w:rFonts w:ascii="Times New Roman" w:eastAsia="Calibri" w:hAnsi="Times New Roman" w:cs="Times New Roman"/>
          <w:sz w:val="20"/>
          <w:szCs w:val="20"/>
        </w:rPr>
        <w:t xml:space="preserve">4.1 </w:t>
      </w:r>
      <w:r w:rsidR="00B10265" w:rsidRPr="0089336D">
        <w:rPr>
          <w:rFonts w:ascii="Times New Roman" w:eastAsia="Calibri" w:hAnsi="Times New Roman" w:cs="Times New Roman"/>
          <w:sz w:val="20"/>
          <w:szCs w:val="20"/>
        </w:rPr>
        <w:t>Bed Usage</w:t>
      </w:r>
    </w:p>
    <w:p w14:paraId="4E909E4E" w14:textId="77777777" w:rsidR="007F1E72" w:rsidRPr="0089336D" w:rsidRDefault="007F1E72" w:rsidP="007F1E72">
      <w:pPr>
        <w:spacing w:after="0" w:line="240" w:lineRule="auto"/>
        <w:jc w:val="both"/>
        <w:rPr>
          <w:rFonts w:ascii="Times New Roman" w:eastAsia="Calibri" w:hAnsi="Times New Roman" w:cs="Times New Roman"/>
          <w:iCs/>
          <w:sz w:val="20"/>
          <w:szCs w:val="20"/>
        </w:rPr>
      </w:pPr>
    </w:p>
    <w:p w14:paraId="591EE889" w14:textId="363D738A" w:rsidR="00B10265" w:rsidRPr="0089336D" w:rsidRDefault="00B10265" w:rsidP="00601C4C">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This 10-year mirror-image study demonstrated a considerable reduction in both duration and frequency of hospital admissions; thi</w:t>
      </w:r>
      <w:r w:rsidR="00537DEE" w:rsidRPr="0089336D">
        <w:rPr>
          <w:rFonts w:ascii="Times New Roman" w:eastAsia="Calibri" w:hAnsi="Times New Roman" w:cs="Times New Roman"/>
          <w:iCs/>
          <w:sz w:val="20"/>
          <w:szCs w:val="20"/>
        </w:rPr>
        <w:t>s change was sustained over a 5-</w:t>
      </w:r>
      <w:r w:rsidRPr="0089336D">
        <w:rPr>
          <w:rFonts w:ascii="Times New Roman" w:eastAsia="Calibri" w:hAnsi="Times New Roman" w:cs="Times New Roman"/>
          <w:iCs/>
          <w:sz w:val="20"/>
          <w:szCs w:val="20"/>
        </w:rPr>
        <w:t>year period following the initiation of PP1M (</w:t>
      </w:r>
      <w:r w:rsidR="00A8057D">
        <w:rPr>
          <w:rFonts w:ascii="Times New Roman" w:eastAsia="Calibri" w:hAnsi="Times New Roman" w:cs="Times New Roman"/>
          <w:iCs/>
          <w:sz w:val="20"/>
          <w:szCs w:val="20"/>
        </w:rPr>
        <w:t>f</w:t>
      </w:r>
      <w:r w:rsidRPr="0089336D">
        <w:rPr>
          <w:rFonts w:ascii="Times New Roman" w:eastAsia="Calibri" w:hAnsi="Times New Roman" w:cs="Times New Roman"/>
          <w:iCs/>
          <w:sz w:val="20"/>
          <w:szCs w:val="20"/>
        </w:rPr>
        <w:t xml:space="preserve">igures 1 </w:t>
      </w:r>
      <w:r w:rsidR="00DD74F8">
        <w:rPr>
          <w:rFonts w:ascii="Times New Roman" w:eastAsia="Calibri" w:hAnsi="Times New Roman" w:cs="Times New Roman"/>
          <w:iCs/>
          <w:sz w:val="20"/>
          <w:szCs w:val="20"/>
        </w:rPr>
        <w:t>&amp;</w:t>
      </w:r>
      <w:r w:rsidRPr="0089336D">
        <w:rPr>
          <w:rFonts w:ascii="Times New Roman" w:eastAsia="Calibri" w:hAnsi="Times New Roman" w:cs="Times New Roman"/>
          <w:iCs/>
          <w:sz w:val="20"/>
          <w:szCs w:val="20"/>
        </w:rPr>
        <w:t xml:space="preserve"> </w:t>
      </w:r>
      <w:r w:rsidR="00A8057D">
        <w:rPr>
          <w:rFonts w:ascii="Times New Roman" w:eastAsia="Calibri" w:hAnsi="Times New Roman" w:cs="Times New Roman"/>
          <w:iCs/>
          <w:sz w:val="20"/>
          <w:szCs w:val="20"/>
        </w:rPr>
        <w:t>3</w:t>
      </w:r>
      <w:r w:rsidRPr="0089336D">
        <w:rPr>
          <w:rFonts w:ascii="Times New Roman" w:eastAsia="Calibri" w:hAnsi="Times New Roman" w:cs="Times New Roman"/>
          <w:iCs/>
          <w:sz w:val="20"/>
          <w:szCs w:val="20"/>
        </w:rPr>
        <w:t>). Patients who continued treatment for 5 years (n=77) demonstrated an overall reduction of 72.3% in the mean number of admissions and 68% in</w:t>
      </w:r>
      <w:r w:rsidR="002224C2" w:rsidRPr="0089336D">
        <w:rPr>
          <w:rFonts w:ascii="Times New Roman" w:eastAsia="Calibri" w:hAnsi="Times New Roman" w:cs="Times New Roman"/>
          <w:iCs/>
          <w:sz w:val="20"/>
          <w:szCs w:val="20"/>
        </w:rPr>
        <w:t xml:space="preserve"> the</w:t>
      </w:r>
      <w:r w:rsidRPr="0089336D">
        <w:rPr>
          <w:rFonts w:ascii="Times New Roman" w:eastAsia="Calibri" w:hAnsi="Times New Roman" w:cs="Times New Roman"/>
          <w:iCs/>
          <w:sz w:val="20"/>
          <w:szCs w:val="20"/>
        </w:rPr>
        <w:t xml:space="preserve"> mean length of admissions compared to the 5-year period before initiation</w:t>
      </w:r>
      <w:r w:rsidR="002224C2" w:rsidRPr="0089336D">
        <w:rPr>
          <w:rFonts w:ascii="Times New Roman" w:eastAsia="Calibri" w:hAnsi="Times New Roman" w:cs="Times New Roman"/>
          <w:iCs/>
          <w:sz w:val="20"/>
          <w:szCs w:val="20"/>
        </w:rPr>
        <w:t xml:space="preserve"> while more than half of the patients did have no admission during this period of time</w:t>
      </w:r>
      <w:r w:rsidRPr="0089336D">
        <w:rPr>
          <w:rFonts w:ascii="Times New Roman" w:eastAsia="Calibri" w:hAnsi="Times New Roman" w:cs="Times New Roman"/>
          <w:iCs/>
          <w:sz w:val="20"/>
          <w:szCs w:val="20"/>
        </w:rPr>
        <w:t>.</w:t>
      </w:r>
    </w:p>
    <w:p w14:paraId="11CBA5DE" w14:textId="77777777" w:rsidR="00B10265" w:rsidRPr="0089336D" w:rsidRDefault="00B10265" w:rsidP="007F1E72">
      <w:pPr>
        <w:spacing w:after="0" w:line="240" w:lineRule="auto"/>
        <w:jc w:val="both"/>
        <w:rPr>
          <w:rFonts w:ascii="Times New Roman" w:eastAsia="Calibri" w:hAnsi="Times New Roman" w:cs="Times New Roman"/>
          <w:iCs/>
          <w:sz w:val="20"/>
          <w:szCs w:val="20"/>
        </w:rPr>
      </w:pPr>
    </w:p>
    <w:p w14:paraId="29419873" w14:textId="04145A32" w:rsidR="00EF4B16" w:rsidRPr="00F72A61" w:rsidRDefault="00BB0C0D" w:rsidP="007F1E72">
      <w:pPr>
        <w:spacing w:after="0" w:line="240" w:lineRule="auto"/>
        <w:jc w:val="both"/>
        <w:rPr>
          <w:rFonts w:ascii="Times New Roman" w:eastAsia="Calibri" w:hAnsi="Times New Roman" w:cs="Times New Roman"/>
          <w:iCs/>
          <w:sz w:val="20"/>
          <w:szCs w:val="20"/>
          <w:lang w:val="en-NZ"/>
        </w:rPr>
      </w:pPr>
      <w:r w:rsidRPr="0089336D">
        <w:rPr>
          <w:rFonts w:ascii="Times New Roman" w:eastAsia="Calibri" w:hAnsi="Times New Roman" w:cs="Times New Roman"/>
          <w:iCs/>
          <w:sz w:val="20"/>
          <w:szCs w:val="20"/>
        </w:rPr>
        <w:t xml:space="preserve">Previous naturalistic studies recorded </w:t>
      </w:r>
      <w:r w:rsidR="003C114B" w:rsidRPr="0089336D">
        <w:rPr>
          <w:rFonts w:ascii="Times New Roman" w:eastAsia="Calibri" w:hAnsi="Times New Roman" w:cs="Times New Roman"/>
          <w:iCs/>
          <w:sz w:val="20"/>
          <w:szCs w:val="20"/>
        </w:rPr>
        <w:t xml:space="preserve">a </w:t>
      </w:r>
      <w:r w:rsidRPr="0089336D">
        <w:rPr>
          <w:rFonts w:ascii="Times New Roman" w:eastAsia="Calibri" w:hAnsi="Times New Roman" w:cs="Times New Roman"/>
          <w:iCs/>
          <w:sz w:val="20"/>
          <w:szCs w:val="20"/>
        </w:rPr>
        <w:t xml:space="preserve">similar </w:t>
      </w:r>
      <w:r w:rsidR="003C114B" w:rsidRPr="0089336D">
        <w:rPr>
          <w:rFonts w:ascii="Times New Roman" w:eastAsia="Calibri" w:hAnsi="Times New Roman" w:cs="Times New Roman"/>
          <w:iCs/>
          <w:sz w:val="20"/>
          <w:szCs w:val="20"/>
        </w:rPr>
        <w:t xml:space="preserve">trend </w:t>
      </w:r>
      <w:r w:rsidRPr="0089336D">
        <w:rPr>
          <w:rFonts w:ascii="Times New Roman" w:eastAsia="Calibri" w:hAnsi="Times New Roman" w:cs="Times New Roman"/>
          <w:iCs/>
          <w:sz w:val="20"/>
          <w:szCs w:val="20"/>
        </w:rPr>
        <w:t xml:space="preserve">regarding hospitalisation </w:t>
      </w:r>
      <w:r w:rsidR="003C114B" w:rsidRPr="0089336D">
        <w:rPr>
          <w:rFonts w:ascii="Times New Roman" w:eastAsia="Calibri" w:hAnsi="Times New Roman" w:cs="Times New Roman"/>
          <w:iCs/>
          <w:sz w:val="20"/>
          <w:szCs w:val="20"/>
        </w:rPr>
        <w:t xml:space="preserve">rates </w:t>
      </w:r>
      <w:r w:rsidRPr="0089336D">
        <w:rPr>
          <w:rFonts w:ascii="Times New Roman" w:eastAsia="Calibri" w:hAnsi="Times New Roman" w:cs="Times New Roman"/>
          <w:iCs/>
          <w:sz w:val="20"/>
          <w:szCs w:val="20"/>
        </w:rPr>
        <w:t xml:space="preserve">though the majority had </w:t>
      </w:r>
      <w:r w:rsidR="003C114B" w:rsidRPr="0089336D">
        <w:rPr>
          <w:rFonts w:ascii="Times New Roman" w:eastAsia="Calibri" w:hAnsi="Times New Roman" w:cs="Times New Roman"/>
          <w:iCs/>
          <w:sz w:val="20"/>
          <w:szCs w:val="20"/>
        </w:rPr>
        <w:t xml:space="preserve">relatively </w:t>
      </w:r>
      <w:r w:rsidRPr="0089336D">
        <w:rPr>
          <w:rFonts w:ascii="Times New Roman" w:eastAsia="Calibri" w:hAnsi="Times New Roman" w:cs="Times New Roman"/>
          <w:iCs/>
          <w:sz w:val="20"/>
          <w:szCs w:val="20"/>
        </w:rPr>
        <w:t>short follow up periods of one year</w:t>
      </w:r>
      <w:r w:rsidR="00A82C17" w:rsidRPr="0089336D">
        <w:rPr>
          <w:rFonts w:ascii="Times New Roman" w:eastAsia="Calibri" w:hAnsi="Times New Roman" w:cs="Times New Roman"/>
          <w:iCs/>
          <w:sz w:val="20"/>
          <w:szCs w:val="20"/>
        </w:rPr>
        <w:t xml:space="preserve"> [2</w:t>
      </w:r>
      <w:r w:rsidR="0060176D">
        <w:rPr>
          <w:rFonts w:ascii="Times New Roman" w:eastAsia="Calibri" w:hAnsi="Times New Roman" w:cs="Times New Roman"/>
          <w:iCs/>
          <w:sz w:val="20"/>
          <w:szCs w:val="20"/>
        </w:rPr>
        <w:t>3</w:t>
      </w:r>
      <w:r w:rsidR="00A82C17" w:rsidRPr="0089336D">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5</w:t>
      </w:r>
      <w:r w:rsidRPr="0089336D">
        <w:rPr>
          <w:rFonts w:ascii="Times New Roman" w:eastAsia="Calibri" w:hAnsi="Times New Roman" w:cs="Times New Roman"/>
          <w:iCs/>
          <w:sz w:val="20"/>
          <w:szCs w:val="20"/>
        </w:rPr>
        <w:t>] and only two other studies reporting on two and three years</w:t>
      </w:r>
      <w:r w:rsidR="003C114B" w:rsidRPr="0089336D">
        <w:rPr>
          <w:rFonts w:ascii="Times New Roman" w:eastAsia="Calibri" w:hAnsi="Times New Roman" w:cs="Times New Roman"/>
          <w:iCs/>
          <w:sz w:val="20"/>
          <w:szCs w:val="20"/>
        </w:rPr>
        <w:t>’</w:t>
      </w:r>
      <w:r w:rsidRPr="0089336D">
        <w:rPr>
          <w:rFonts w:ascii="Times New Roman" w:eastAsia="Calibri" w:hAnsi="Times New Roman" w:cs="Times New Roman"/>
          <w:iCs/>
          <w:sz w:val="20"/>
          <w:szCs w:val="20"/>
        </w:rPr>
        <w:t xml:space="preserve"> treatment outcomes</w:t>
      </w:r>
      <w:r w:rsidR="00E20031" w:rsidRPr="0089336D">
        <w:rPr>
          <w:rFonts w:ascii="Times New Roman" w:eastAsia="Calibri" w:hAnsi="Times New Roman" w:cs="Times New Roman"/>
          <w:iCs/>
          <w:sz w:val="20"/>
          <w:szCs w:val="20"/>
        </w:rPr>
        <w:t xml:space="preserve"> [2</w:t>
      </w:r>
      <w:r w:rsidR="0060176D">
        <w:rPr>
          <w:rFonts w:ascii="Times New Roman" w:eastAsia="Calibri" w:hAnsi="Times New Roman" w:cs="Times New Roman"/>
          <w:iCs/>
          <w:sz w:val="20"/>
          <w:szCs w:val="20"/>
        </w:rPr>
        <w:t>6</w:t>
      </w:r>
      <w:r w:rsidR="00E20031" w:rsidRPr="0089336D">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7</w:t>
      </w:r>
      <w:r w:rsidR="00E20031" w:rsidRPr="0089336D">
        <w:rPr>
          <w:rFonts w:ascii="Times New Roman" w:eastAsia="Calibri" w:hAnsi="Times New Roman" w:cs="Times New Roman"/>
          <w:iCs/>
          <w:sz w:val="20"/>
          <w:szCs w:val="20"/>
        </w:rPr>
        <w:t>]</w:t>
      </w:r>
      <w:r w:rsidRPr="0089336D">
        <w:rPr>
          <w:rFonts w:ascii="Times New Roman" w:eastAsia="Calibri" w:hAnsi="Times New Roman" w:cs="Times New Roman"/>
          <w:iCs/>
          <w:sz w:val="20"/>
          <w:szCs w:val="20"/>
        </w:rPr>
        <w:t xml:space="preserve">. Overall, results compared more favourably in </w:t>
      </w:r>
      <w:r w:rsidR="001943AD" w:rsidRPr="0089336D">
        <w:rPr>
          <w:rFonts w:ascii="Times New Roman" w:eastAsia="Calibri" w:hAnsi="Times New Roman" w:cs="Times New Roman"/>
          <w:iCs/>
          <w:sz w:val="20"/>
          <w:szCs w:val="20"/>
        </w:rPr>
        <w:t xml:space="preserve">this </w:t>
      </w:r>
      <w:r w:rsidRPr="0089336D">
        <w:rPr>
          <w:rFonts w:ascii="Times New Roman" w:eastAsia="Calibri" w:hAnsi="Times New Roman" w:cs="Times New Roman"/>
          <w:iCs/>
          <w:sz w:val="20"/>
          <w:szCs w:val="20"/>
        </w:rPr>
        <w:t>study</w:t>
      </w:r>
      <w:r w:rsidR="003C114B" w:rsidRPr="0089336D">
        <w:rPr>
          <w:rFonts w:ascii="Times New Roman" w:eastAsia="Calibri" w:hAnsi="Times New Roman" w:cs="Times New Roman"/>
          <w:iCs/>
          <w:sz w:val="20"/>
          <w:szCs w:val="20"/>
        </w:rPr>
        <w:t xml:space="preserve"> and</w:t>
      </w:r>
      <w:r w:rsidRPr="0089336D">
        <w:rPr>
          <w:rFonts w:ascii="Times New Roman" w:eastAsia="Calibri" w:hAnsi="Times New Roman" w:cs="Times New Roman"/>
          <w:iCs/>
          <w:sz w:val="20"/>
          <w:szCs w:val="20"/>
        </w:rPr>
        <w:t xml:space="preserve"> are well sustained into the 4</w:t>
      </w:r>
      <w:r w:rsidRPr="0089336D">
        <w:rPr>
          <w:rFonts w:ascii="Times New Roman" w:eastAsia="Calibri" w:hAnsi="Times New Roman" w:cs="Times New Roman"/>
          <w:iCs/>
          <w:sz w:val="20"/>
          <w:szCs w:val="20"/>
          <w:vertAlign w:val="superscript"/>
        </w:rPr>
        <w:t>th</w:t>
      </w:r>
      <w:r w:rsidRPr="0089336D">
        <w:rPr>
          <w:rFonts w:ascii="Times New Roman" w:eastAsia="Calibri" w:hAnsi="Times New Roman" w:cs="Times New Roman"/>
          <w:iCs/>
          <w:sz w:val="20"/>
          <w:szCs w:val="20"/>
        </w:rPr>
        <w:t xml:space="preserve"> and 5</w:t>
      </w:r>
      <w:r w:rsidRPr="0089336D">
        <w:rPr>
          <w:rFonts w:ascii="Times New Roman" w:eastAsia="Calibri" w:hAnsi="Times New Roman" w:cs="Times New Roman"/>
          <w:iCs/>
          <w:sz w:val="20"/>
          <w:szCs w:val="20"/>
          <w:vertAlign w:val="superscript"/>
        </w:rPr>
        <w:t>th</w:t>
      </w:r>
      <w:r w:rsidRPr="0089336D">
        <w:rPr>
          <w:rFonts w:ascii="Times New Roman" w:eastAsia="Calibri" w:hAnsi="Times New Roman" w:cs="Times New Roman"/>
          <w:iCs/>
          <w:sz w:val="20"/>
          <w:szCs w:val="20"/>
        </w:rPr>
        <w:t xml:space="preserve"> year with minimal need for hospital use in this patient population</w:t>
      </w:r>
      <w:r w:rsidR="003C114B" w:rsidRPr="0089336D">
        <w:rPr>
          <w:rFonts w:ascii="Times New Roman" w:eastAsia="Calibri" w:hAnsi="Times New Roman" w:cs="Times New Roman"/>
          <w:iCs/>
          <w:sz w:val="20"/>
          <w:szCs w:val="20"/>
        </w:rPr>
        <w:t xml:space="preserve">. </w:t>
      </w:r>
      <w:r w:rsidR="00EF4B16" w:rsidRPr="0089336D">
        <w:rPr>
          <w:rFonts w:ascii="Times New Roman" w:eastAsia="Calibri" w:hAnsi="Times New Roman" w:cs="Times New Roman"/>
          <w:iCs/>
          <w:sz w:val="20"/>
          <w:szCs w:val="20"/>
        </w:rPr>
        <w:t>A large Scandinavian population-based cohort study and a follow up period of 20 years demonstrated that clozapine and LAIs and particularly PP1M carried the lowest risk of psychiatric re-hospitalization compared to oral antipsychotics</w:t>
      </w:r>
      <w:r w:rsidR="00125D8C" w:rsidRPr="0089336D">
        <w:rPr>
          <w:rFonts w:ascii="Times New Roman" w:eastAsia="Calibri" w:hAnsi="Times New Roman" w:cs="Times New Roman"/>
          <w:iCs/>
          <w:sz w:val="20"/>
          <w:szCs w:val="20"/>
        </w:rPr>
        <w:t>. [2</w:t>
      </w:r>
      <w:r w:rsidR="0060176D">
        <w:rPr>
          <w:rFonts w:ascii="Times New Roman" w:eastAsia="Calibri" w:hAnsi="Times New Roman" w:cs="Times New Roman"/>
          <w:iCs/>
          <w:sz w:val="20"/>
          <w:szCs w:val="20"/>
        </w:rPr>
        <w:t>7</w:t>
      </w:r>
      <w:r w:rsidR="00125D8C" w:rsidRPr="0089336D">
        <w:rPr>
          <w:rFonts w:ascii="Times New Roman" w:eastAsia="Calibri" w:hAnsi="Times New Roman" w:cs="Times New Roman"/>
          <w:iCs/>
          <w:sz w:val="20"/>
          <w:szCs w:val="20"/>
        </w:rPr>
        <w:t>]</w:t>
      </w:r>
    </w:p>
    <w:p w14:paraId="4CA6DDCF" w14:textId="2CCB73A5" w:rsidR="00B10265" w:rsidRPr="0089336D" w:rsidRDefault="00B10265" w:rsidP="007F1E72">
      <w:pPr>
        <w:spacing w:after="0" w:line="240" w:lineRule="auto"/>
        <w:jc w:val="both"/>
        <w:rPr>
          <w:rFonts w:ascii="Times New Roman" w:eastAsia="Calibri" w:hAnsi="Times New Roman" w:cs="Times New Roman"/>
          <w:iCs/>
          <w:sz w:val="20"/>
          <w:szCs w:val="20"/>
        </w:rPr>
      </w:pPr>
    </w:p>
    <w:p w14:paraId="1F2ECDEF" w14:textId="0342BB74" w:rsidR="00445E3A" w:rsidRPr="0089336D" w:rsidRDefault="00EF4B16" w:rsidP="00734987">
      <w:pPr>
        <w:spacing w:after="160" w:line="259"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 xml:space="preserve">The majority of the past naturalistic </w:t>
      </w:r>
      <w:r w:rsidR="003C114B" w:rsidRPr="0089336D">
        <w:rPr>
          <w:rFonts w:ascii="Times New Roman" w:eastAsia="Calibri" w:hAnsi="Times New Roman" w:cs="Times New Roman"/>
          <w:iCs/>
          <w:sz w:val="20"/>
          <w:szCs w:val="20"/>
        </w:rPr>
        <w:t xml:space="preserve">studies did not report separately according to diagnosis but here the schizophrenia patient group showed similar improvements to the whole group. </w:t>
      </w:r>
      <w:r w:rsidR="00B10265" w:rsidRPr="0089336D">
        <w:rPr>
          <w:rFonts w:ascii="Times New Roman" w:eastAsia="Calibri" w:hAnsi="Times New Roman" w:cs="Times New Roman"/>
          <w:iCs/>
          <w:sz w:val="20"/>
          <w:szCs w:val="20"/>
        </w:rPr>
        <w:t>It</w:t>
      </w:r>
      <w:r w:rsidR="00A63137" w:rsidRPr="0089336D">
        <w:rPr>
          <w:rFonts w:ascii="Times New Roman" w:eastAsia="Calibri" w:hAnsi="Times New Roman" w:cs="Times New Roman"/>
          <w:iCs/>
          <w:sz w:val="20"/>
          <w:szCs w:val="20"/>
        </w:rPr>
        <w:t xml:space="preserve"> i</w:t>
      </w:r>
      <w:r w:rsidR="00B10265" w:rsidRPr="0089336D">
        <w:rPr>
          <w:rFonts w:ascii="Times New Roman" w:eastAsia="Calibri" w:hAnsi="Times New Roman" w:cs="Times New Roman"/>
          <w:iCs/>
          <w:sz w:val="20"/>
          <w:szCs w:val="20"/>
        </w:rPr>
        <w:t xml:space="preserve">s noteworthy, that </w:t>
      </w:r>
      <w:r w:rsidR="00FF0D2A" w:rsidRPr="0089336D">
        <w:rPr>
          <w:rFonts w:ascii="Times New Roman" w:eastAsia="Calibri" w:hAnsi="Times New Roman" w:cs="Times New Roman"/>
          <w:iCs/>
          <w:sz w:val="20"/>
          <w:szCs w:val="20"/>
        </w:rPr>
        <w:t xml:space="preserve">both </w:t>
      </w:r>
      <w:r w:rsidR="00B10265" w:rsidRPr="0089336D">
        <w:rPr>
          <w:rFonts w:ascii="Times New Roman" w:eastAsia="Calibri" w:hAnsi="Times New Roman" w:cs="Times New Roman"/>
          <w:iCs/>
          <w:sz w:val="20"/>
          <w:szCs w:val="20"/>
        </w:rPr>
        <w:t>num</w:t>
      </w:r>
      <w:r w:rsidR="00FF0D2A" w:rsidRPr="0089336D">
        <w:rPr>
          <w:rFonts w:ascii="Times New Roman" w:eastAsia="Calibri" w:hAnsi="Times New Roman" w:cs="Times New Roman"/>
          <w:iCs/>
          <w:sz w:val="20"/>
          <w:szCs w:val="20"/>
        </w:rPr>
        <w:t>ber and length of admissions were</w:t>
      </w:r>
      <w:r w:rsidR="00B10265" w:rsidRPr="0089336D">
        <w:rPr>
          <w:rFonts w:ascii="Times New Roman" w:eastAsia="Calibri" w:hAnsi="Times New Roman" w:cs="Times New Roman"/>
          <w:iCs/>
          <w:sz w:val="20"/>
          <w:szCs w:val="20"/>
        </w:rPr>
        <w:t xml:space="preserve"> increasing and greatest in the year immediately pri</w:t>
      </w:r>
      <w:r w:rsidR="00B26479" w:rsidRPr="0089336D">
        <w:rPr>
          <w:rFonts w:ascii="Times New Roman" w:eastAsia="Calibri" w:hAnsi="Times New Roman" w:cs="Times New Roman"/>
          <w:iCs/>
          <w:sz w:val="20"/>
          <w:szCs w:val="20"/>
        </w:rPr>
        <w:t>or to PP1M initiation</w:t>
      </w:r>
      <w:r w:rsidR="003C114B" w:rsidRPr="0089336D">
        <w:rPr>
          <w:rFonts w:ascii="Times New Roman" w:eastAsia="Calibri" w:hAnsi="Times New Roman" w:cs="Times New Roman"/>
          <w:iCs/>
          <w:sz w:val="20"/>
          <w:szCs w:val="20"/>
        </w:rPr>
        <w:t xml:space="preserve"> in both </w:t>
      </w:r>
      <w:r w:rsidRPr="0089336D">
        <w:rPr>
          <w:rFonts w:ascii="Times New Roman" w:eastAsia="Calibri" w:hAnsi="Times New Roman" w:cs="Times New Roman"/>
          <w:iCs/>
          <w:sz w:val="20"/>
          <w:szCs w:val="20"/>
        </w:rPr>
        <w:t>the whole and schizophrenia group</w:t>
      </w:r>
      <w:r w:rsidR="00A8057D">
        <w:rPr>
          <w:rFonts w:ascii="Times New Roman" w:eastAsia="Calibri" w:hAnsi="Times New Roman" w:cs="Times New Roman"/>
          <w:iCs/>
          <w:sz w:val="20"/>
          <w:szCs w:val="20"/>
        </w:rPr>
        <w:t xml:space="preserve"> (figures 1</w:t>
      </w:r>
      <w:r w:rsidR="00DD74F8">
        <w:rPr>
          <w:rFonts w:ascii="Times New Roman" w:eastAsia="Calibri" w:hAnsi="Times New Roman" w:cs="Times New Roman"/>
          <w:iCs/>
          <w:sz w:val="20"/>
          <w:szCs w:val="20"/>
        </w:rPr>
        <w:t xml:space="preserve"> &amp;</w:t>
      </w:r>
      <w:r w:rsidR="00A8057D">
        <w:rPr>
          <w:rFonts w:ascii="Times New Roman" w:eastAsia="Calibri" w:hAnsi="Times New Roman" w:cs="Times New Roman"/>
          <w:iCs/>
          <w:sz w:val="20"/>
          <w:szCs w:val="20"/>
        </w:rPr>
        <w:t xml:space="preserve"> 3)</w:t>
      </w:r>
      <w:r w:rsidR="00B26479" w:rsidRPr="0089336D">
        <w:rPr>
          <w:rFonts w:ascii="Times New Roman" w:eastAsia="Calibri" w:hAnsi="Times New Roman" w:cs="Times New Roman"/>
          <w:iCs/>
          <w:sz w:val="20"/>
          <w:szCs w:val="20"/>
        </w:rPr>
        <w:t>. This</w:t>
      </w:r>
      <w:r w:rsidR="00B10265" w:rsidRPr="0089336D">
        <w:rPr>
          <w:rFonts w:ascii="Times New Roman" w:eastAsia="Calibri" w:hAnsi="Times New Roman" w:cs="Times New Roman"/>
          <w:iCs/>
          <w:sz w:val="20"/>
          <w:szCs w:val="20"/>
        </w:rPr>
        <w:t xml:space="preserve"> </w:t>
      </w:r>
      <w:r w:rsidR="003C114B" w:rsidRPr="0089336D">
        <w:rPr>
          <w:rFonts w:ascii="Times New Roman" w:eastAsia="Calibri" w:hAnsi="Times New Roman" w:cs="Times New Roman"/>
          <w:iCs/>
          <w:sz w:val="20"/>
          <w:szCs w:val="20"/>
        </w:rPr>
        <w:t xml:space="preserve">observation </w:t>
      </w:r>
      <w:r w:rsidR="00B26479" w:rsidRPr="0089336D">
        <w:rPr>
          <w:rFonts w:ascii="Times New Roman" w:eastAsia="Calibri" w:hAnsi="Times New Roman" w:cs="Times New Roman"/>
          <w:iCs/>
          <w:sz w:val="20"/>
          <w:szCs w:val="20"/>
        </w:rPr>
        <w:t xml:space="preserve">is </w:t>
      </w:r>
      <w:r w:rsidR="00B10265" w:rsidRPr="0089336D">
        <w:rPr>
          <w:rFonts w:ascii="Times New Roman" w:eastAsia="Calibri" w:hAnsi="Times New Roman" w:cs="Times New Roman"/>
          <w:iCs/>
          <w:sz w:val="20"/>
          <w:szCs w:val="20"/>
        </w:rPr>
        <w:t xml:space="preserve">consistent with </w:t>
      </w:r>
      <w:r w:rsidR="00537DEE" w:rsidRPr="0089336D">
        <w:rPr>
          <w:rFonts w:ascii="Times New Roman" w:eastAsia="Calibri" w:hAnsi="Times New Roman" w:cs="Times New Roman"/>
          <w:iCs/>
          <w:sz w:val="20"/>
          <w:szCs w:val="20"/>
        </w:rPr>
        <w:t xml:space="preserve">other </w:t>
      </w:r>
      <w:r w:rsidR="00B10265" w:rsidRPr="0089336D">
        <w:rPr>
          <w:rFonts w:ascii="Times New Roman" w:eastAsia="Calibri" w:hAnsi="Times New Roman" w:cs="Times New Roman"/>
          <w:iCs/>
          <w:sz w:val="20"/>
          <w:szCs w:val="20"/>
        </w:rPr>
        <w:t>studies examining the usage of PP1M</w:t>
      </w:r>
      <w:r w:rsidR="00DF327D" w:rsidRPr="0089336D">
        <w:rPr>
          <w:rFonts w:ascii="Times New Roman" w:eastAsia="Calibri" w:hAnsi="Times New Roman" w:cs="Times New Roman"/>
          <w:iCs/>
          <w:sz w:val="20"/>
          <w:szCs w:val="20"/>
        </w:rPr>
        <w:t xml:space="preserve"> [2</w:t>
      </w:r>
      <w:r w:rsidR="0060176D">
        <w:rPr>
          <w:rFonts w:ascii="Times New Roman" w:eastAsia="Calibri" w:hAnsi="Times New Roman" w:cs="Times New Roman"/>
          <w:iCs/>
          <w:sz w:val="20"/>
          <w:szCs w:val="20"/>
        </w:rPr>
        <w:t>1</w:t>
      </w:r>
      <w:r w:rsidR="00DF327D" w:rsidRPr="0089336D">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6</w:t>
      </w:r>
      <w:r w:rsidR="00DF327D" w:rsidRPr="0089336D">
        <w:rPr>
          <w:rFonts w:ascii="Times New Roman" w:eastAsia="Calibri" w:hAnsi="Times New Roman" w:cs="Times New Roman"/>
          <w:iCs/>
          <w:sz w:val="20"/>
          <w:szCs w:val="20"/>
        </w:rPr>
        <w:t>]</w:t>
      </w:r>
      <w:r w:rsidR="00B10265" w:rsidRPr="0089336D">
        <w:rPr>
          <w:rFonts w:ascii="Times New Roman" w:eastAsia="Calibri" w:hAnsi="Times New Roman" w:cs="Times New Roman"/>
          <w:iCs/>
          <w:sz w:val="20"/>
          <w:szCs w:val="20"/>
        </w:rPr>
        <w:t xml:space="preserve"> as well </w:t>
      </w:r>
      <w:r w:rsidR="00537DEE" w:rsidRPr="0089336D">
        <w:rPr>
          <w:rFonts w:ascii="Times New Roman" w:eastAsia="Calibri" w:hAnsi="Times New Roman" w:cs="Times New Roman"/>
          <w:iCs/>
          <w:sz w:val="20"/>
          <w:szCs w:val="20"/>
        </w:rPr>
        <w:t xml:space="preserve">as </w:t>
      </w:r>
      <w:r w:rsidR="00B10265" w:rsidRPr="0089336D">
        <w:rPr>
          <w:rFonts w:ascii="Times New Roman" w:eastAsia="Calibri" w:hAnsi="Times New Roman" w:cs="Times New Roman"/>
          <w:iCs/>
          <w:sz w:val="20"/>
          <w:szCs w:val="20"/>
        </w:rPr>
        <w:t xml:space="preserve">Aripiprazole LAI </w:t>
      </w:r>
      <w:r w:rsidR="008B00A4" w:rsidRPr="0089336D">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9</w:t>
      </w:r>
      <w:r w:rsidR="008B00A4" w:rsidRPr="0089336D">
        <w:rPr>
          <w:rFonts w:ascii="Times New Roman" w:eastAsia="Calibri" w:hAnsi="Times New Roman" w:cs="Times New Roman"/>
          <w:iCs/>
          <w:sz w:val="20"/>
          <w:szCs w:val="20"/>
        </w:rPr>
        <w:t>]</w:t>
      </w:r>
      <w:r w:rsidR="00B10265" w:rsidRPr="0089336D">
        <w:rPr>
          <w:rFonts w:ascii="Times New Roman" w:eastAsia="Calibri" w:hAnsi="Times New Roman" w:cs="Times New Roman"/>
          <w:iCs/>
          <w:sz w:val="20"/>
          <w:szCs w:val="20"/>
        </w:rPr>
        <w:t xml:space="preserve">, which is another commonly used, second-generation antipsychotic. </w:t>
      </w:r>
      <w:r w:rsidR="00B26479" w:rsidRPr="0089336D">
        <w:rPr>
          <w:rFonts w:ascii="Times New Roman" w:eastAsia="Calibri" w:hAnsi="Times New Roman" w:cs="Times New Roman"/>
          <w:iCs/>
          <w:sz w:val="20"/>
          <w:szCs w:val="20"/>
        </w:rPr>
        <w:t>Similarly, another study comparing the effects of first- and second-generation LAIs on hospitalisation rates showed that PP1M was prescribed more regularly in patients with longer and more frequent hospital admissions in the year directly preceding initiation than other LAIs</w:t>
      </w:r>
      <w:r w:rsidR="008B00A4" w:rsidRPr="0089336D">
        <w:rPr>
          <w:rFonts w:ascii="Times New Roman" w:eastAsia="Calibri" w:hAnsi="Times New Roman" w:cs="Times New Roman"/>
          <w:iCs/>
          <w:sz w:val="20"/>
          <w:szCs w:val="20"/>
        </w:rPr>
        <w:t xml:space="preserve"> [</w:t>
      </w:r>
      <w:r w:rsidR="0060176D">
        <w:rPr>
          <w:rFonts w:ascii="Times New Roman" w:eastAsia="Calibri" w:hAnsi="Times New Roman" w:cs="Times New Roman"/>
          <w:iCs/>
          <w:sz w:val="20"/>
          <w:szCs w:val="20"/>
        </w:rPr>
        <w:t>30</w:t>
      </w:r>
      <w:r w:rsidR="008B00A4" w:rsidRPr="0089336D">
        <w:rPr>
          <w:rFonts w:ascii="Times New Roman" w:eastAsia="Calibri" w:hAnsi="Times New Roman" w:cs="Times New Roman"/>
          <w:iCs/>
          <w:sz w:val="20"/>
          <w:szCs w:val="20"/>
        </w:rPr>
        <w:t>]</w:t>
      </w:r>
      <w:r w:rsidR="00B26479" w:rsidRPr="0089336D">
        <w:rPr>
          <w:rFonts w:ascii="Times New Roman" w:eastAsia="Calibri" w:hAnsi="Times New Roman" w:cs="Times New Roman"/>
          <w:iCs/>
          <w:sz w:val="20"/>
          <w:szCs w:val="20"/>
        </w:rPr>
        <w:t xml:space="preserve">. </w:t>
      </w:r>
      <w:r w:rsidR="00FF0D2A" w:rsidRPr="0089336D">
        <w:rPr>
          <w:rFonts w:ascii="Times New Roman" w:eastAsia="Calibri" w:hAnsi="Times New Roman" w:cs="Times New Roman"/>
          <w:iCs/>
          <w:sz w:val="20"/>
          <w:szCs w:val="20"/>
        </w:rPr>
        <w:t>This pattern of use indicates that LAIs are often being initiated after prolonged clinical deterioration despite recent evidence of the benefits of early LAI use</w:t>
      </w:r>
      <w:r w:rsidR="00410A67" w:rsidRPr="0089336D">
        <w:rPr>
          <w:rFonts w:ascii="Times New Roman" w:eastAsia="Calibri" w:hAnsi="Times New Roman" w:cs="Times New Roman"/>
          <w:iCs/>
          <w:sz w:val="20"/>
          <w:szCs w:val="20"/>
        </w:rPr>
        <w:t xml:space="preserve"> [</w:t>
      </w:r>
      <w:r w:rsidR="0060176D">
        <w:rPr>
          <w:rFonts w:ascii="Times New Roman" w:eastAsia="Calibri" w:hAnsi="Times New Roman" w:cs="Times New Roman"/>
          <w:iCs/>
          <w:sz w:val="20"/>
          <w:szCs w:val="20"/>
        </w:rPr>
        <w:t>31</w:t>
      </w:r>
      <w:r w:rsidR="00410A67" w:rsidRPr="0089336D">
        <w:rPr>
          <w:rFonts w:ascii="Times New Roman" w:eastAsia="Calibri" w:hAnsi="Times New Roman" w:cs="Times New Roman"/>
          <w:iCs/>
          <w:sz w:val="20"/>
          <w:szCs w:val="20"/>
        </w:rPr>
        <w:t>]</w:t>
      </w:r>
      <w:r w:rsidR="00FF0D2A" w:rsidRPr="0089336D">
        <w:rPr>
          <w:rFonts w:ascii="Times New Roman" w:eastAsia="Calibri" w:hAnsi="Times New Roman" w:cs="Times New Roman"/>
          <w:iCs/>
          <w:sz w:val="20"/>
          <w:szCs w:val="20"/>
        </w:rPr>
        <w:t xml:space="preserve"> </w:t>
      </w:r>
      <w:r w:rsidR="00537DEE" w:rsidRPr="0089336D">
        <w:rPr>
          <w:rFonts w:ascii="Times New Roman" w:eastAsia="Calibri" w:hAnsi="Times New Roman" w:cs="Times New Roman"/>
          <w:iCs/>
          <w:sz w:val="20"/>
          <w:szCs w:val="20"/>
        </w:rPr>
        <w:t>and that m</w:t>
      </w:r>
      <w:r w:rsidR="00FF0D2A" w:rsidRPr="0089336D">
        <w:rPr>
          <w:rFonts w:ascii="Times New Roman" w:eastAsia="Calibri" w:hAnsi="Times New Roman" w:cs="Times New Roman"/>
          <w:iCs/>
          <w:sz w:val="20"/>
          <w:szCs w:val="20"/>
        </w:rPr>
        <w:t>any barriers to their use remain, including stigma and perceived coercion</w:t>
      </w:r>
      <w:r w:rsidR="00410A67" w:rsidRPr="0089336D">
        <w:rPr>
          <w:rFonts w:ascii="Times New Roman" w:eastAsia="Calibri" w:hAnsi="Times New Roman" w:cs="Times New Roman"/>
          <w:iCs/>
          <w:sz w:val="20"/>
          <w:szCs w:val="20"/>
        </w:rPr>
        <w:t xml:space="preserve"> [3</w:t>
      </w:r>
      <w:r w:rsidR="0060176D">
        <w:rPr>
          <w:rFonts w:ascii="Times New Roman" w:eastAsia="Calibri" w:hAnsi="Times New Roman" w:cs="Times New Roman"/>
          <w:iCs/>
          <w:sz w:val="20"/>
          <w:szCs w:val="20"/>
        </w:rPr>
        <w:t>2-35</w:t>
      </w:r>
      <w:r w:rsidR="00410A67" w:rsidRPr="0089336D">
        <w:rPr>
          <w:rFonts w:ascii="Times New Roman" w:eastAsia="Calibri" w:hAnsi="Times New Roman" w:cs="Times New Roman"/>
          <w:iCs/>
          <w:sz w:val="20"/>
          <w:szCs w:val="20"/>
        </w:rPr>
        <w:t>]</w:t>
      </w:r>
      <w:r w:rsidR="00601C4C">
        <w:rPr>
          <w:rFonts w:ascii="Times New Roman" w:eastAsia="Calibri" w:hAnsi="Times New Roman" w:cs="Times New Roman"/>
          <w:iCs/>
          <w:sz w:val="20"/>
          <w:szCs w:val="20"/>
        </w:rPr>
        <w:t>.</w:t>
      </w:r>
    </w:p>
    <w:p w14:paraId="6BA8C3F8" w14:textId="321E1075" w:rsidR="00445E3A" w:rsidRPr="0089336D" w:rsidRDefault="00445E3A" w:rsidP="00734987">
      <w:pPr>
        <w:spacing w:after="160" w:line="259"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 xml:space="preserve">Whether RCTs or naturalistic in design, studies rarely tend to follow up the group of patients </w:t>
      </w:r>
      <w:r w:rsidR="004C347A" w:rsidRPr="0089336D">
        <w:rPr>
          <w:rFonts w:ascii="Times New Roman" w:eastAsia="Calibri" w:hAnsi="Times New Roman" w:cs="Times New Roman"/>
          <w:iCs/>
          <w:sz w:val="20"/>
          <w:szCs w:val="20"/>
        </w:rPr>
        <w:t xml:space="preserve">after they </w:t>
      </w:r>
      <w:r w:rsidRPr="0089336D">
        <w:rPr>
          <w:rFonts w:ascii="Times New Roman" w:eastAsia="Calibri" w:hAnsi="Times New Roman" w:cs="Times New Roman"/>
          <w:iCs/>
          <w:sz w:val="20"/>
          <w:szCs w:val="20"/>
        </w:rPr>
        <w:t>drop out or discontinue an intervention</w:t>
      </w:r>
      <w:r w:rsidR="004C347A" w:rsidRPr="0089336D">
        <w:rPr>
          <w:rFonts w:ascii="Times New Roman" w:eastAsia="Calibri" w:hAnsi="Times New Roman" w:cs="Times New Roman"/>
          <w:iCs/>
          <w:sz w:val="20"/>
          <w:szCs w:val="20"/>
        </w:rPr>
        <w:t>. Nevertheless, in their four</w:t>
      </w:r>
      <w:r w:rsidR="00601C4C">
        <w:rPr>
          <w:rFonts w:ascii="Times New Roman" w:eastAsia="Calibri" w:hAnsi="Times New Roman" w:cs="Times New Roman"/>
          <w:iCs/>
          <w:sz w:val="20"/>
          <w:szCs w:val="20"/>
        </w:rPr>
        <w:t>-</w:t>
      </w:r>
      <w:r w:rsidR="004C347A" w:rsidRPr="0089336D">
        <w:rPr>
          <w:rFonts w:ascii="Times New Roman" w:eastAsia="Calibri" w:hAnsi="Times New Roman" w:cs="Times New Roman"/>
          <w:iCs/>
          <w:sz w:val="20"/>
          <w:szCs w:val="20"/>
        </w:rPr>
        <w:t>year mirror image study, Taylor et al [2</w:t>
      </w:r>
      <w:r w:rsidR="0060176D">
        <w:rPr>
          <w:rFonts w:ascii="Times New Roman" w:eastAsia="Calibri" w:hAnsi="Times New Roman" w:cs="Times New Roman"/>
          <w:iCs/>
          <w:sz w:val="20"/>
          <w:szCs w:val="20"/>
        </w:rPr>
        <w:t>6</w:t>
      </w:r>
      <w:r w:rsidR="004C347A" w:rsidRPr="0089336D">
        <w:rPr>
          <w:rFonts w:ascii="Times New Roman" w:eastAsia="Calibri" w:hAnsi="Times New Roman" w:cs="Times New Roman"/>
          <w:iCs/>
          <w:sz w:val="20"/>
          <w:szCs w:val="20"/>
        </w:rPr>
        <w:t xml:space="preserve">] showed that patients that discontinued PP1M did significantly worse regarding both number and length of hospitalisations than the patients that continued treatment which is akin to our own findings providing further evidence of the benefits of continued treatment with PP1M.   </w:t>
      </w:r>
    </w:p>
    <w:p w14:paraId="2E1D057A" w14:textId="77777777" w:rsidR="00445E3A" w:rsidRPr="0089336D" w:rsidRDefault="00445E3A" w:rsidP="00CC7ACF">
      <w:pPr>
        <w:spacing w:after="0" w:line="240" w:lineRule="auto"/>
        <w:jc w:val="both"/>
        <w:rPr>
          <w:rFonts w:ascii="Times New Roman" w:eastAsia="Calibri" w:hAnsi="Times New Roman" w:cs="Times New Roman"/>
          <w:bCs/>
          <w:iCs/>
          <w:sz w:val="20"/>
          <w:szCs w:val="20"/>
        </w:rPr>
      </w:pPr>
    </w:p>
    <w:p w14:paraId="5AF16417" w14:textId="5859306C" w:rsidR="00CC7ACF" w:rsidRPr="0089336D" w:rsidRDefault="00CC7ACF" w:rsidP="00CC7ACF">
      <w:pPr>
        <w:spacing w:after="0" w:line="240" w:lineRule="auto"/>
        <w:jc w:val="both"/>
        <w:rPr>
          <w:rFonts w:ascii="Times New Roman" w:eastAsia="Calibri" w:hAnsi="Times New Roman" w:cs="Times New Roman"/>
          <w:b/>
          <w:bCs/>
          <w:iCs/>
          <w:sz w:val="20"/>
          <w:szCs w:val="20"/>
        </w:rPr>
      </w:pPr>
      <w:r w:rsidRPr="0089336D">
        <w:rPr>
          <w:rFonts w:ascii="Times New Roman" w:eastAsia="Calibri" w:hAnsi="Times New Roman" w:cs="Times New Roman"/>
          <w:bCs/>
          <w:iCs/>
          <w:sz w:val="20"/>
          <w:szCs w:val="20"/>
        </w:rPr>
        <w:lastRenderedPageBreak/>
        <w:t>Evidently, th</w:t>
      </w:r>
      <w:r w:rsidR="004C347A" w:rsidRPr="0089336D">
        <w:rPr>
          <w:rFonts w:ascii="Times New Roman" w:eastAsia="Calibri" w:hAnsi="Times New Roman" w:cs="Times New Roman"/>
          <w:bCs/>
          <w:iCs/>
          <w:sz w:val="20"/>
          <w:szCs w:val="20"/>
        </w:rPr>
        <w:t xml:space="preserve">e above findings </w:t>
      </w:r>
      <w:r w:rsidRPr="0089336D">
        <w:rPr>
          <w:rFonts w:ascii="Times New Roman" w:eastAsia="Calibri" w:hAnsi="Times New Roman" w:cs="Times New Roman"/>
          <w:bCs/>
          <w:iCs/>
          <w:sz w:val="20"/>
          <w:szCs w:val="20"/>
        </w:rPr>
        <w:t>ha</w:t>
      </w:r>
      <w:r w:rsidR="004C347A" w:rsidRPr="0089336D">
        <w:rPr>
          <w:rFonts w:ascii="Times New Roman" w:eastAsia="Calibri" w:hAnsi="Times New Roman" w:cs="Times New Roman"/>
          <w:bCs/>
          <w:iCs/>
          <w:sz w:val="20"/>
          <w:szCs w:val="20"/>
        </w:rPr>
        <w:t>ve</w:t>
      </w:r>
      <w:r w:rsidRPr="0089336D">
        <w:rPr>
          <w:rFonts w:ascii="Times New Roman" w:eastAsia="Calibri" w:hAnsi="Times New Roman" w:cs="Times New Roman"/>
          <w:bCs/>
          <w:iCs/>
          <w:sz w:val="20"/>
          <w:szCs w:val="20"/>
        </w:rPr>
        <w:t xml:space="preserve"> significant implications with regards to the economic burden of hospitalisations on health services while providing further support for the potential role of </w:t>
      </w:r>
      <w:r w:rsidR="004C347A" w:rsidRPr="0089336D">
        <w:rPr>
          <w:rFonts w:ascii="Times New Roman" w:eastAsia="Calibri" w:hAnsi="Times New Roman" w:cs="Times New Roman"/>
          <w:bCs/>
          <w:iCs/>
          <w:sz w:val="20"/>
          <w:szCs w:val="20"/>
        </w:rPr>
        <w:t xml:space="preserve">PP1M in particular and </w:t>
      </w:r>
      <w:r w:rsidRPr="0089336D">
        <w:rPr>
          <w:rFonts w:ascii="Times New Roman" w:eastAsia="Calibri" w:hAnsi="Times New Roman" w:cs="Times New Roman"/>
          <w:bCs/>
          <w:iCs/>
          <w:sz w:val="20"/>
          <w:szCs w:val="20"/>
        </w:rPr>
        <w:t xml:space="preserve">LAIs </w:t>
      </w:r>
      <w:r w:rsidR="004C347A" w:rsidRPr="0089336D">
        <w:rPr>
          <w:rFonts w:ascii="Times New Roman" w:eastAsia="Calibri" w:hAnsi="Times New Roman" w:cs="Times New Roman"/>
          <w:bCs/>
          <w:iCs/>
          <w:sz w:val="20"/>
          <w:szCs w:val="20"/>
        </w:rPr>
        <w:t xml:space="preserve">in general </w:t>
      </w:r>
      <w:r w:rsidRPr="0089336D">
        <w:rPr>
          <w:rFonts w:ascii="Times New Roman" w:eastAsia="Calibri" w:hAnsi="Times New Roman" w:cs="Times New Roman"/>
          <w:bCs/>
          <w:iCs/>
          <w:sz w:val="20"/>
          <w:szCs w:val="20"/>
        </w:rPr>
        <w:t xml:space="preserve">to enhance </w:t>
      </w:r>
      <w:r w:rsidR="004C347A" w:rsidRPr="0089336D">
        <w:rPr>
          <w:rFonts w:ascii="Times New Roman" w:eastAsia="Calibri" w:hAnsi="Times New Roman" w:cs="Times New Roman"/>
          <w:bCs/>
          <w:iCs/>
          <w:sz w:val="20"/>
          <w:szCs w:val="20"/>
        </w:rPr>
        <w:t xml:space="preserve">stability and </w:t>
      </w:r>
      <w:r w:rsidRPr="0089336D">
        <w:rPr>
          <w:rFonts w:ascii="Times New Roman" w:eastAsia="Calibri" w:hAnsi="Times New Roman" w:cs="Times New Roman"/>
          <w:bCs/>
          <w:iCs/>
          <w:sz w:val="20"/>
          <w:szCs w:val="20"/>
        </w:rPr>
        <w:t>recovery</w:t>
      </w:r>
      <w:r w:rsidR="004C347A" w:rsidRPr="0089336D">
        <w:rPr>
          <w:rFonts w:ascii="Times New Roman" w:eastAsia="Calibri" w:hAnsi="Times New Roman" w:cs="Times New Roman"/>
          <w:bCs/>
          <w:iCs/>
          <w:sz w:val="20"/>
          <w:szCs w:val="20"/>
        </w:rPr>
        <w:t>.</w:t>
      </w:r>
    </w:p>
    <w:p w14:paraId="1F11FDE5" w14:textId="77777777" w:rsidR="00CC7ACF" w:rsidRPr="0089336D" w:rsidRDefault="00CC7ACF" w:rsidP="007F1E72">
      <w:pPr>
        <w:spacing w:after="160" w:line="259" w:lineRule="auto"/>
        <w:jc w:val="both"/>
        <w:rPr>
          <w:rFonts w:ascii="Times New Roman" w:eastAsia="Calibri" w:hAnsi="Times New Roman" w:cs="Times New Roman"/>
          <w:iCs/>
          <w:sz w:val="20"/>
          <w:szCs w:val="20"/>
        </w:rPr>
      </w:pPr>
    </w:p>
    <w:p w14:paraId="5C2D1F99" w14:textId="39F67484" w:rsidR="009A5906" w:rsidRPr="0089336D" w:rsidRDefault="00E75C14" w:rsidP="00734987">
      <w:pPr>
        <w:pStyle w:val="Heading2"/>
        <w:rPr>
          <w:rFonts w:ascii="Times New Roman" w:eastAsia="Calibri" w:hAnsi="Times New Roman" w:cs="Times New Roman"/>
          <w:sz w:val="20"/>
          <w:szCs w:val="20"/>
        </w:rPr>
      </w:pPr>
      <w:r w:rsidRPr="0089336D">
        <w:rPr>
          <w:rFonts w:ascii="Times New Roman" w:eastAsia="Calibri" w:hAnsi="Times New Roman" w:cs="Times New Roman"/>
          <w:sz w:val="20"/>
          <w:szCs w:val="20"/>
        </w:rPr>
        <w:t xml:space="preserve">4.2 </w:t>
      </w:r>
      <w:r w:rsidR="009A5906" w:rsidRPr="0089336D">
        <w:rPr>
          <w:rFonts w:ascii="Times New Roman" w:eastAsia="Calibri" w:hAnsi="Times New Roman" w:cs="Times New Roman"/>
          <w:sz w:val="20"/>
          <w:szCs w:val="20"/>
        </w:rPr>
        <w:t xml:space="preserve">Treatment Continuation </w:t>
      </w:r>
    </w:p>
    <w:p w14:paraId="6EC8E9B2" w14:textId="77777777" w:rsidR="007F1E72" w:rsidRPr="0089336D" w:rsidRDefault="007F1E72" w:rsidP="007F1E72">
      <w:pPr>
        <w:spacing w:after="0" w:line="240" w:lineRule="auto"/>
        <w:jc w:val="both"/>
        <w:rPr>
          <w:rFonts w:ascii="Times New Roman" w:eastAsia="Calibri" w:hAnsi="Times New Roman" w:cs="Times New Roman"/>
          <w:iCs/>
          <w:sz w:val="20"/>
          <w:szCs w:val="20"/>
        </w:rPr>
      </w:pPr>
    </w:p>
    <w:p w14:paraId="4A22101E" w14:textId="466A1EA4" w:rsidR="009A5906" w:rsidRPr="00316331" w:rsidRDefault="009A5906" w:rsidP="007F1E72">
      <w:pPr>
        <w:spacing w:after="0" w:line="240" w:lineRule="auto"/>
        <w:jc w:val="both"/>
        <w:rPr>
          <w:rFonts w:ascii="Times New Roman" w:eastAsia="Calibri" w:hAnsi="Times New Roman" w:cs="Times New Roman"/>
          <w:iCs/>
          <w:sz w:val="20"/>
          <w:szCs w:val="20"/>
        </w:rPr>
      </w:pPr>
      <w:r w:rsidRPr="0089336D">
        <w:rPr>
          <w:rFonts w:ascii="Times New Roman" w:eastAsia="Calibri" w:hAnsi="Times New Roman" w:cs="Times New Roman"/>
          <w:iCs/>
          <w:sz w:val="20"/>
          <w:szCs w:val="20"/>
        </w:rPr>
        <w:t xml:space="preserve">Treatment </w:t>
      </w:r>
      <w:r w:rsidR="00EA7FBC" w:rsidRPr="0089336D">
        <w:rPr>
          <w:rFonts w:ascii="Times New Roman" w:eastAsia="Calibri" w:hAnsi="Times New Roman" w:cs="Times New Roman"/>
          <w:iCs/>
          <w:sz w:val="20"/>
          <w:szCs w:val="20"/>
        </w:rPr>
        <w:t xml:space="preserve">continuation </w:t>
      </w:r>
      <w:r w:rsidRPr="0089336D">
        <w:rPr>
          <w:rFonts w:ascii="Times New Roman" w:eastAsia="Calibri" w:hAnsi="Times New Roman" w:cs="Times New Roman"/>
          <w:iCs/>
          <w:sz w:val="20"/>
          <w:szCs w:val="20"/>
        </w:rPr>
        <w:t xml:space="preserve">provide a marker of effectiveness, tolerability and patient preference </w:t>
      </w:r>
      <w:r w:rsidR="003779BC" w:rsidRPr="0089336D">
        <w:rPr>
          <w:rFonts w:ascii="Times New Roman" w:eastAsia="Calibri" w:hAnsi="Times New Roman" w:cs="Times New Roman"/>
          <w:iCs/>
          <w:sz w:val="20"/>
          <w:szCs w:val="20"/>
        </w:rPr>
        <w:t>[2</w:t>
      </w:r>
      <w:r w:rsidR="0060176D">
        <w:rPr>
          <w:rFonts w:ascii="Times New Roman" w:eastAsia="Calibri" w:hAnsi="Times New Roman" w:cs="Times New Roman"/>
          <w:iCs/>
          <w:sz w:val="20"/>
          <w:szCs w:val="20"/>
        </w:rPr>
        <w:t>1</w:t>
      </w:r>
      <w:r w:rsidR="003779BC" w:rsidRPr="0089336D">
        <w:rPr>
          <w:rFonts w:ascii="Times New Roman" w:eastAsia="Calibri" w:hAnsi="Times New Roman" w:cs="Times New Roman"/>
          <w:iCs/>
          <w:sz w:val="20"/>
          <w:szCs w:val="20"/>
        </w:rPr>
        <w:t>]</w:t>
      </w:r>
      <w:r w:rsidR="00EA7FBC" w:rsidRPr="0089336D">
        <w:rPr>
          <w:rFonts w:ascii="Times New Roman" w:eastAsia="Calibri" w:hAnsi="Times New Roman" w:cs="Times New Roman"/>
          <w:iCs/>
          <w:sz w:val="20"/>
          <w:szCs w:val="20"/>
        </w:rPr>
        <w:t xml:space="preserve">. Retention </w:t>
      </w:r>
      <w:r w:rsidRPr="0089336D">
        <w:rPr>
          <w:rFonts w:ascii="Times New Roman" w:eastAsia="Calibri" w:hAnsi="Times New Roman" w:cs="Times New Roman"/>
          <w:iCs/>
          <w:sz w:val="20"/>
          <w:szCs w:val="20"/>
        </w:rPr>
        <w:t>rates compared favourably in this study at 76%, 64.7%, 53.3%, 50.3% and 46.1% for years 1 to 5 respectively indicating a trend for stabilisation with patients less likely to discontinue treatment</w:t>
      </w:r>
      <w:r w:rsidR="008E0077">
        <w:rPr>
          <w:rFonts w:ascii="Times New Roman" w:eastAsia="Calibri" w:hAnsi="Times New Roman" w:cs="Times New Roman"/>
          <w:iCs/>
          <w:sz w:val="20"/>
          <w:szCs w:val="20"/>
        </w:rPr>
        <w:t xml:space="preserve"> with PP1M</w:t>
      </w:r>
      <w:r w:rsidRPr="00316331">
        <w:rPr>
          <w:rFonts w:ascii="Times New Roman" w:eastAsia="Calibri" w:hAnsi="Times New Roman" w:cs="Times New Roman"/>
          <w:iCs/>
          <w:sz w:val="20"/>
          <w:szCs w:val="20"/>
        </w:rPr>
        <w:t xml:space="preserve"> after the third year</w:t>
      </w:r>
      <w:r w:rsidR="007F1E72" w:rsidRPr="00316331">
        <w:rPr>
          <w:rFonts w:ascii="Times New Roman" w:eastAsia="Calibri" w:hAnsi="Times New Roman" w:cs="Times New Roman"/>
          <w:iCs/>
          <w:sz w:val="20"/>
          <w:szCs w:val="20"/>
        </w:rPr>
        <w:t xml:space="preserve"> (</w:t>
      </w:r>
      <w:r w:rsidR="00601C4C">
        <w:rPr>
          <w:rFonts w:ascii="Times New Roman" w:eastAsia="Calibri" w:hAnsi="Times New Roman" w:cs="Times New Roman"/>
          <w:iCs/>
          <w:sz w:val="20"/>
          <w:szCs w:val="20"/>
        </w:rPr>
        <w:t>T</w:t>
      </w:r>
      <w:r w:rsidR="007F1E72" w:rsidRPr="00316331">
        <w:rPr>
          <w:rFonts w:ascii="Times New Roman" w:eastAsia="Calibri" w:hAnsi="Times New Roman" w:cs="Times New Roman"/>
          <w:iCs/>
          <w:sz w:val="20"/>
          <w:szCs w:val="20"/>
        </w:rPr>
        <w:t>able 3)</w:t>
      </w:r>
      <w:r w:rsidRPr="00316331">
        <w:rPr>
          <w:rFonts w:ascii="Times New Roman" w:eastAsia="Calibri" w:hAnsi="Times New Roman" w:cs="Times New Roman"/>
          <w:iCs/>
          <w:sz w:val="20"/>
          <w:szCs w:val="20"/>
        </w:rPr>
        <w:t>.</w:t>
      </w:r>
    </w:p>
    <w:p w14:paraId="4BBBE75C" w14:textId="798CF68E" w:rsidR="009A5906" w:rsidRPr="00316331" w:rsidRDefault="009A5906" w:rsidP="007F1E72">
      <w:pPr>
        <w:spacing w:after="0" w:line="240" w:lineRule="auto"/>
        <w:jc w:val="both"/>
        <w:rPr>
          <w:rFonts w:ascii="Times New Roman" w:eastAsia="Calibri" w:hAnsi="Times New Roman" w:cs="Times New Roman"/>
          <w:iCs/>
          <w:sz w:val="20"/>
          <w:szCs w:val="20"/>
        </w:rPr>
      </w:pPr>
    </w:p>
    <w:p w14:paraId="52837A3D" w14:textId="2D9816A3" w:rsidR="00716A8C" w:rsidRPr="00716A8C" w:rsidRDefault="001A1207" w:rsidP="00716A8C">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As mentioned above, </w:t>
      </w:r>
      <w:r w:rsidR="00716A8C" w:rsidRPr="00716A8C">
        <w:rPr>
          <w:rFonts w:ascii="Times New Roman" w:eastAsia="Calibri" w:hAnsi="Times New Roman" w:cs="Times New Roman"/>
          <w:iCs/>
          <w:sz w:val="20"/>
          <w:szCs w:val="20"/>
        </w:rPr>
        <w:t xml:space="preserve">, this is the </w:t>
      </w:r>
      <w:r>
        <w:rPr>
          <w:rFonts w:ascii="Times New Roman" w:eastAsia="Calibri" w:hAnsi="Times New Roman" w:cs="Times New Roman"/>
          <w:iCs/>
          <w:sz w:val="20"/>
          <w:szCs w:val="20"/>
        </w:rPr>
        <w:t xml:space="preserve">only </w:t>
      </w:r>
      <w:r w:rsidR="00716A8C" w:rsidRPr="00716A8C">
        <w:rPr>
          <w:rFonts w:ascii="Times New Roman" w:eastAsia="Calibri" w:hAnsi="Times New Roman" w:cs="Times New Roman"/>
          <w:iCs/>
          <w:sz w:val="20"/>
          <w:szCs w:val="20"/>
        </w:rPr>
        <w:t xml:space="preserve">study </w:t>
      </w:r>
      <w:r>
        <w:rPr>
          <w:rFonts w:ascii="Times New Roman" w:eastAsia="Calibri" w:hAnsi="Times New Roman" w:cs="Times New Roman"/>
          <w:iCs/>
          <w:sz w:val="20"/>
          <w:szCs w:val="20"/>
        </w:rPr>
        <w:t xml:space="preserve">to </w:t>
      </w:r>
      <w:r w:rsidR="00716A8C" w:rsidRPr="00716A8C">
        <w:rPr>
          <w:rFonts w:ascii="Times New Roman" w:eastAsia="Calibri" w:hAnsi="Times New Roman" w:cs="Times New Roman"/>
          <w:iCs/>
          <w:sz w:val="20"/>
          <w:szCs w:val="20"/>
        </w:rPr>
        <w:t>report on 5-year follow-up continuation data in a naturalistic cohort treated with LAIs</w:t>
      </w:r>
      <w:r w:rsidR="002C044B">
        <w:rPr>
          <w:rFonts w:ascii="Times New Roman" w:eastAsia="Calibri" w:hAnsi="Times New Roman" w:cs="Times New Roman"/>
          <w:iCs/>
          <w:sz w:val="20"/>
          <w:szCs w:val="20"/>
        </w:rPr>
        <w:t>, so comparable data in similar cohorts is only available in studies with a shorter follow up</w:t>
      </w:r>
      <w:r w:rsidR="00716A8C" w:rsidRPr="00716A8C">
        <w:rPr>
          <w:rFonts w:ascii="Times New Roman" w:eastAsia="Calibri" w:hAnsi="Times New Roman" w:cs="Times New Roman"/>
          <w:iCs/>
          <w:sz w:val="20"/>
          <w:szCs w:val="20"/>
        </w:rPr>
        <w:t xml:space="preserve">.  Two mirror-image studies with </w:t>
      </w:r>
      <w:r w:rsidR="002C044B">
        <w:rPr>
          <w:rFonts w:ascii="Times New Roman" w:eastAsia="Calibri" w:hAnsi="Times New Roman" w:cs="Times New Roman"/>
          <w:iCs/>
          <w:sz w:val="20"/>
          <w:szCs w:val="20"/>
        </w:rPr>
        <w:t>relatively long</w:t>
      </w:r>
      <w:r w:rsidR="00716A8C" w:rsidRPr="00716A8C">
        <w:rPr>
          <w:rFonts w:ascii="Times New Roman" w:eastAsia="Calibri" w:hAnsi="Times New Roman" w:cs="Times New Roman"/>
          <w:iCs/>
          <w:sz w:val="20"/>
          <w:szCs w:val="20"/>
        </w:rPr>
        <w:t xml:space="preserve"> observation period</w:t>
      </w:r>
      <w:r w:rsidR="002C044B">
        <w:rPr>
          <w:rFonts w:ascii="Times New Roman" w:eastAsia="Calibri" w:hAnsi="Times New Roman" w:cs="Times New Roman"/>
          <w:iCs/>
          <w:sz w:val="20"/>
          <w:szCs w:val="20"/>
        </w:rPr>
        <w:t>s</w:t>
      </w:r>
      <w:r w:rsidR="00716A8C" w:rsidRPr="00716A8C">
        <w:rPr>
          <w:rFonts w:ascii="Times New Roman" w:eastAsia="Calibri" w:hAnsi="Times New Roman" w:cs="Times New Roman"/>
          <w:iCs/>
          <w:sz w:val="20"/>
          <w:szCs w:val="20"/>
        </w:rPr>
        <w:t>, involving the first 225 and the second 98 patients, demonstrated PP1M retention figures of 65% at 1 year and 38% at 2 years [2</w:t>
      </w:r>
      <w:r w:rsidR="0060176D">
        <w:rPr>
          <w:rFonts w:ascii="Times New Roman" w:eastAsia="Calibri" w:hAnsi="Times New Roman" w:cs="Times New Roman"/>
          <w:iCs/>
          <w:sz w:val="20"/>
          <w:szCs w:val="20"/>
        </w:rPr>
        <w:t>6</w:t>
      </w:r>
      <w:r w:rsidR="00716A8C" w:rsidRPr="00716A8C">
        <w:rPr>
          <w:rFonts w:ascii="Times New Roman" w:eastAsia="Calibri" w:hAnsi="Times New Roman" w:cs="Times New Roman"/>
          <w:iCs/>
          <w:sz w:val="20"/>
          <w:szCs w:val="20"/>
        </w:rPr>
        <w:t>], and 85%, 60% and 47% over 3 years respectively [2</w:t>
      </w:r>
      <w:r w:rsidR="0060176D">
        <w:rPr>
          <w:rFonts w:ascii="Times New Roman" w:eastAsia="Calibri" w:hAnsi="Times New Roman" w:cs="Times New Roman"/>
          <w:iCs/>
          <w:sz w:val="20"/>
          <w:szCs w:val="20"/>
        </w:rPr>
        <w:t>7</w:t>
      </w:r>
      <w:r w:rsidR="00716A8C" w:rsidRPr="00716A8C">
        <w:rPr>
          <w:rFonts w:ascii="Times New Roman" w:eastAsia="Calibri" w:hAnsi="Times New Roman" w:cs="Times New Roman"/>
          <w:iCs/>
          <w:sz w:val="20"/>
          <w:szCs w:val="20"/>
        </w:rPr>
        <w:t>]. In contrast, a prospective cohort study that included 211 patients on Risperidone LAI showed that less than 25% completed 2 years and only 16% 3 years of treatment [3</w:t>
      </w:r>
      <w:r w:rsidR="0060176D">
        <w:rPr>
          <w:rFonts w:ascii="Times New Roman" w:eastAsia="Calibri" w:hAnsi="Times New Roman" w:cs="Times New Roman"/>
          <w:iCs/>
          <w:sz w:val="20"/>
          <w:szCs w:val="20"/>
        </w:rPr>
        <w:t>6</w:t>
      </w:r>
      <w:r w:rsidR="00716A8C" w:rsidRPr="00716A8C">
        <w:rPr>
          <w:rFonts w:ascii="Times New Roman" w:eastAsia="Calibri" w:hAnsi="Times New Roman" w:cs="Times New Roman"/>
          <w:iCs/>
          <w:sz w:val="20"/>
          <w:szCs w:val="20"/>
        </w:rPr>
        <w:t>]. Another mirror-image study of 84 inpatients commenced on Haloperidol reported that only a third of patients remained on treatment at one year [3</w:t>
      </w:r>
      <w:r w:rsidR="0060176D">
        <w:rPr>
          <w:rFonts w:ascii="Times New Roman" w:eastAsia="Calibri" w:hAnsi="Times New Roman" w:cs="Times New Roman"/>
          <w:iCs/>
          <w:sz w:val="20"/>
          <w:szCs w:val="20"/>
        </w:rPr>
        <w:t>7</w:t>
      </w:r>
      <w:r w:rsidR="00716A8C" w:rsidRPr="00716A8C">
        <w:rPr>
          <w:rFonts w:ascii="Times New Roman" w:eastAsia="Calibri" w:hAnsi="Times New Roman" w:cs="Times New Roman"/>
          <w:iCs/>
          <w:sz w:val="20"/>
          <w:szCs w:val="20"/>
        </w:rPr>
        <w:t>]. In comparison</w:t>
      </w:r>
      <w:r w:rsidR="00601C4C">
        <w:rPr>
          <w:rFonts w:ascii="Times New Roman" w:eastAsia="Calibri" w:hAnsi="Times New Roman" w:cs="Times New Roman"/>
          <w:iCs/>
          <w:sz w:val="20"/>
          <w:szCs w:val="20"/>
        </w:rPr>
        <w:t>,</w:t>
      </w:r>
      <w:r w:rsidR="00716A8C" w:rsidRPr="00716A8C">
        <w:rPr>
          <w:rFonts w:ascii="Times New Roman" w:eastAsia="Calibri" w:hAnsi="Times New Roman" w:cs="Times New Roman"/>
          <w:iCs/>
          <w:sz w:val="20"/>
          <w:szCs w:val="20"/>
        </w:rPr>
        <w:t xml:space="preserve"> newer LAIs appear to perform better</w:t>
      </w:r>
      <w:r w:rsidR="00C63642">
        <w:rPr>
          <w:rFonts w:ascii="Times New Roman" w:eastAsia="Calibri" w:hAnsi="Times New Roman" w:cs="Times New Roman"/>
          <w:iCs/>
          <w:sz w:val="20"/>
          <w:szCs w:val="20"/>
        </w:rPr>
        <w:t xml:space="preserve"> possibly due to less frequent administration, alternative injections sites and improved tolerability</w:t>
      </w:r>
      <w:r w:rsidR="00716A8C" w:rsidRPr="00716A8C">
        <w:rPr>
          <w:rFonts w:ascii="Times New Roman" w:eastAsia="Calibri" w:hAnsi="Times New Roman" w:cs="Times New Roman"/>
          <w:iCs/>
          <w:sz w:val="20"/>
          <w:szCs w:val="20"/>
        </w:rPr>
        <w:t>. In a recent pre-post intervention study of 140 patients Pantall et al. [3</w:t>
      </w:r>
      <w:r w:rsidR="0060176D">
        <w:rPr>
          <w:rFonts w:ascii="Times New Roman" w:eastAsia="Calibri" w:hAnsi="Times New Roman" w:cs="Times New Roman"/>
          <w:iCs/>
          <w:sz w:val="20"/>
          <w:szCs w:val="20"/>
        </w:rPr>
        <w:t>8</w:t>
      </w:r>
      <w:r w:rsidR="00716A8C" w:rsidRPr="00716A8C">
        <w:rPr>
          <w:rFonts w:ascii="Times New Roman" w:eastAsia="Calibri" w:hAnsi="Times New Roman" w:cs="Times New Roman"/>
          <w:iCs/>
          <w:sz w:val="20"/>
          <w:szCs w:val="20"/>
        </w:rPr>
        <w:t>] described continuation rates of 70% for PP1M and 62% for Aripiprazole LAI in the first year of treatment; these rates were 66% and 63% respectively at two years in the mirror image study of 109 patients on by Mason et al. including 109 patients treated with Aripiprazole LAI and 173 with PP1M [2</w:t>
      </w:r>
      <w:r w:rsidR="0060176D">
        <w:rPr>
          <w:rFonts w:ascii="Times New Roman" w:eastAsia="Calibri" w:hAnsi="Times New Roman" w:cs="Times New Roman"/>
          <w:iCs/>
          <w:sz w:val="20"/>
          <w:szCs w:val="20"/>
        </w:rPr>
        <w:t>9</w:t>
      </w:r>
      <w:r w:rsidR="00716A8C" w:rsidRPr="00716A8C">
        <w:rPr>
          <w:rFonts w:ascii="Times New Roman" w:eastAsia="Calibri" w:hAnsi="Times New Roman" w:cs="Times New Roman"/>
          <w:iCs/>
          <w:sz w:val="20"/>
          <w:szCs w:val="20"/>
        </w:rPr>
        <w:t xml:space="preserve">]. </w:t>
      </w:r>
    </w:p>
    <w:p w14:paraId="18F5461D" w14:textId="77777777" w:rsidR="00716A8C" w:rsidRPr="00716A8C" w:rsidRDefault="00716A8C" w:rsidP="00716A8C">
      <w:pPr>
        <w:spacing w:after="0" w:line="240" w:lineRule="auto"/>
        <w:jc w:val="both"/>
        <w:rPr>
          <w:rFonts w:ascii="Times New Roman" w:eastAsia="Calibri" w:hAnsi="Times New Roman" w:cs="Times New Roman"/>
          <w:iCs/>
          <w:sz w:val="20"/>
          <w:szCs w:val="20"/>
        </w:rPr>
      </w:pPr>
    </w:p>
    <w:p w14:paraId="148F72BF" w14:textId="5661D452" w:rsidR="00716A8C" w:rsidRPr="00716A8C" w:rsidRDefault="00716A8C" w:rsidP="00716A8C">
      <w:pPr>
        <w:spacing w:after="0" w:line="240" w:lineRule="auto"/>
        <w:jc w:val="both"/>
        <w:rPr>
          <w:rFonts w:ascii="Times New Roman" w:eastAsia="Calibri" w:hAnsi="Times New Roman" w:cs="Times New Roman"/>
          <w:iCs/>
          <w:sz w:val="20"/>
          <w:szCs w:val="20"/>
        </w:rPr>
      </w:pPr>
      <w:r w:rsidRPr="00716A8C">
        <w:rPr>
          <w:rFonts w:ascii="Times New Roman" w:eastAsia="Calibri" w:hAnsi="Times New Roman" w:cs="Times New Roman"/>
          <w:iCs/>
          <w:sz w:val="20"/>
          <w:szCs w:val="20"/>
        </w:rPr>
        <w:t>Furthermore, in two randomised clinical trials of patients with schizophrenia the completion rate in a head-to-head comparison between risperidone LAI and oral antipsychotics over a period of 12 months was 64% in 88 patients [3</w:t>
      </w:r>
      <w:r w:rsidR="0060176D">
        <w:rPr>
          <w:rFonts w:ascii="Times New Roman" w:eastAsia="Calibri" w:hAnsi="Times New Roman" w:cs="Times New Roman"/>
          <w:iCs/>
          <w:sz w:val="20"/>
          <w:szCs w:val="20"/>
        </w:rPr>
        <w:t>9</w:t>
      </w:r>
      <w:r w:rsidRPr="00716A8C">
        <w:rPr>
          <w:rFonts w:ascii="Times New Roman" w:eastAsia="Calibri" w:hAnsi="Times New Roman" w:cs="Times New Roman"/>
          <w:iCs/>
          <w:sz w:val="20"/>
          <w:szCs w:val="20"/>
        </w:rPr>
        <w:t>] in one study and only 40% in 376 patients with first episode of psychosis in the other study [</w:t>
      </w:r>
      <w:r w:rsidR="0060176D">
        <w:rPr>
          <w:rFonts w:ascii="Times New Roman" w:eastAsia="Calibri" w:hAnsi="Times New Roman" w:cs="Times New Roman"/>
          <w:iCs/>
          <w:sz w:val="20"/>
          <w:szCs w:val="20"/>
        </w:rPr>
        <w:t>40</w:t>
      </w:r>
      <w:r w:rsidRPr="00716A8C">
        <w:rPr>
          <w:rFonts w:ascii="Times New Roman" w:eastAsia="Calibri" w:hAnsi="Times New Roman" w:cs="Times New Roman"/>
          <w:iCs/>
          <w:sz w:val="20"/>
          <w:szCs w:val="20"/>
        </w:rPr>
        <w:t>]. Similarly, two well-known large scale studies the European First Episode Schizophrenia Trial (EUFEST) and Clinical Antipsychotic Trial of Intervention Effectiveness (CATIE) comparing various antipsychotics also reported high discontinuation rates (42% in 498 patients with schizophrenia, schizoaffective or schizophreniform disorder over a period of 12 months and 74% in 1493 chronic schizophrenia patients over 18 months respectively) [4</w:t>
      </w:r>
      <w:r w:rsidR="0060176D">
        <w:rPr>
          <w:rFonts w:ascii="Times New Roman" w:eastAsia="Calibri" w:hAnsi="Times New Roman" w:cs="Times New Roman"/>
          <w:iCs/>
          <w:sz w:val="20"/>
          <w:szCs w:val="20"/>
        </w:rPr>
        <w:t>1</w:t>
      </w:r>
      <w:r w:rsidRPr="00716A8C">
        <w:rPr>
          <w:rFonts w:ascii="Times New Roman" w:eastAsia="Calibri" w:hAnsi="Times New Roman" w:cs="Times New Roman"/>
          <w:iCs/>
          <w:sz w:val="20"/>
          <w:szCs w:val="20"/>
        </w:rPr>
        <w:t>,4</w:t>
      </w:r>
      <w:r w:rsidR="0060176D">
        <w:rPr>
          <w:rFonts w:ascii="Times New Roman" w:eastAsia="Calibri" w:hAnsi="Times New Roman" w:cs="Times New Roman"/>
          <w:iCs/>
          <w:sz w:val="20"/>
          <w:szCs w:val="20"/>
        </w:rPr>
        <w:t>2</w:t>
      </w:r>
      <w:r w:rsidRPr="00716A8C">
        <w:rPr>
          <w:rFonts w:ascii="Times New Roman" w:eastAsia="Calibri" w:hAnsi="Times New Roman" w:cs="Times New Roman"/>
          <w:iCs/>
          <w:sz w:val="20"/>
          <w:szCs w:val="20"/>
        </w:rPr>
        <w:t>].</w:t>
      </w:r>
    </w:p>
    <w:p w14:paraId="739034E9" w14:textId="3EA93B3D" w:rsidR="009A5906" w:rsidRPr="00316331" w:rsidRDefault="009A5906" w:rsidP="007F1E72">
      <w:pPr>
        <w:autoSpaceDE w:val="0"/>
        <w:autoSpaceDN w:val="0"/>
        <w:adjustRightInd w:val="0"/>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As also </w:t>
      </w:r>
      <w:r w:rsidR="00EF4B16" w:rsidRPr="00316331">
        <w:rPr>
          <w:rFonts w:ascii="Times New Roman" w:eastAsia="Calibri" w:hAnsi="Times New Roman" w:cs="Times New Roman"/>
          <w:iCs/>
          <w:sz w:val="20"/>
          <w:szCs w:val="20"/>
        </w:rPr>
        <w:t xml:space="preserve">previously </w:t>
      </w:r>
      <w:r w:rsidR="00EA7FBC" w:rsidRPr="00316331">
        <w:rPr>
          <w:rFonts w:ascii="Times New Roman" w:eastAsia="Calibri" w:hAnsi="Times New Roman" w:cs="Times New Roman"/>
          <w:iCs/>
          <w:sz w:val="20"/>
          <w:szCs w:val="20"/>
        </w:rPr>
        <w:t>observed</w:t>
      </w:r>
      <w:r w:rsidR="00EA486D" w:rsidRPr="00316331">
        <w:rPr>
          <w:rFonts w:ascii="Times New Roman" w:eastAsia="Calibri" w:hAnsi="Times New Roman" w:cs="Times New Roman"/>
          <w:iCs/>
          <w:sz w:val="20"/>
          <w:szCs w:val="20"/>
        </w:rPr>
        <w:t xml:space="preserve"> [</w:t>
      </w:r>
      <w:r w:rsidR="006C0235" w:rsidRPr="00316331">
        <w:rPr>
          <w:rFonts w:ascii="Times New Roman" w:eastAsia="Calibri" w:hAnsi="Times New Roman" w:cs="Times New Roman"/>
          <w:iCs/>
          <w:sz w:val="20"/>
          <w:szCs w:val="20"/>
        </w:rPr>
        <w:t>4</w:t>
      </w:r>
      <w:r w:rsidR="0060176D">
        <w:rPr>
          <w:rFonts w:ascii="Times New Roman" w:eastAsia="Calibri" w:hAnsi="Times New Roman" w:cs="Times New Roman"/>
          <w:iCs/>
          <w:sz w:val="20"/>
          <w:szCs w:val="20"/>
        </w:rPr>
        <w:t>3</w:t>
      </w:r>
      <w:r w:rsidR="00EA486D" w:rsidRPr="00316331">
        <w:rPr>
          <w:rFonts w:ascii="Times New Roman" w:eastAsia="Calibri" w:hAnsi="Times New Roman" w:cs="Times New Roman"/>
          <w:iCs/>
          <w:sz w:val="20"/>
          <w:szCs w:val="20"/>
        </w:rPr>
        <w:t>]</w:t>
      </w:r>
      <w:r w:rsidRPr="00316331">
        <w:rPr>
          <w:rFonts w:ascii="Times New Roman" w:eastAsia="Calibri" w:hAnsi="Times New Roman" w:cs="Times New Roman"/>
          <w:iCs/>
          <w:sz w:val="20"/>
          <w:szCs w:val="20"/>
        </w:rPr>
        <w:t xml:space="preserve">, switching from either oral or </w:t>
      </w:r>
      <w:r w:rsidR="00EA486D" w:rsidRPr="00316331">
        <w:rPr>
          <w:rFonts w:ascii="Times New Roman" w:eastAsia="Calibri" w:hAnsi="Times New Roman" w:cs="Times New Roman"/>
          <w:iCs/>
          <w:sz w:val="20"/>
          <w:szCs w:val="20"/>
        </w:rPr>
        <w:t>long-acting</w:t>
      </w:r>
      <w:r w:rsidRPr="00316331">
        <w:rPr>
          <w:rFonts w:ascii="Times New Roman" w:eastAsia="Calibri" w:hAnsi="Times New Roman" w:cs="Times New Roman"/>
          <w:iCs/>
          <w:sz w:val="20"/>
          <w:szCs w:val="20"/>
        </w:rPr>
        <w:t xml:space="preserve"> preparations of risperidone were associated with higher levels of continuation </w:t>
      </w:r>
      <w:r w:rsidR="007F1E72" w:rsidRPr="00316331">
        <w:rPr>
          <w:rFonts w:ascii="Times New Roman" w:eastAsia="Calibri" w:hAnsi="Times New Roman" w:cs="Times New Roman"/>
          <w:iCs/>
          <w:sz w:val="20"/>
          <w:szCs w:val="20"/>
        </w:rPr>
        <w:t>(</w:t>
      </w:r>
      <w:r w:rsidR="00990EFA">
        <w:rPr>
          <w:rFonts w:ascii="Times New Roman" w:eastAsia="Calibri" w:hAnsi="Times New Roman" w:cs="Times New Roman"/>
          <w:iCs/>
          <w:sz w:val="20"/>
          <w:szCs w:val="20"/>
        </w:rPr>
        <w:t>T</w:t>
      </w:r>
      <w:r w:rsidR="007F1E72" w:rsidRPr="00316331">
        <w:rPr>
          <w:rFonts w:ascii="Times New Roman" w:eastAsia="Calibri" w:hAnsi="Times New Roman" w:cs="Times New Roman"/>
          <w:iCs/>
          <w:sz w:val="20"/>
          <w:szCs w:val="20"/>
        </w:rPr>
        <w:t>able 3</w:t>
      </w:r>
      <w:r w:rsidRPr="00316331">
        <w:rPr>
          <w:rFonts w:ascii="Times New Roman" w:eastAsia="Calibri" w:hAnsi="Times New Roman" w:cs="Times New Roman"/>
          <w:iCs/>
          <w:sz w:val="20"/>
          <w:szCs w:val="20"/>
        </w:rPr>
        <w:t xml:space="preserve">). There were no other significant differences between continuers and discontinuers at 5 years both in terms of demographic (age, </w:t>
      </w:r>
      <w:r w:rsidR="00A3786B" w:rsidRPr="00316331">
        <w:rPr>
          <w:rFonts w:ascii="Times New Roman" w:eastAsia="Calibri" w:hAnsi="Times New Roman" w:cs="Times New Roman"/>
          <w:iCs/>
          <w:sz w:val="20"/>
          <w:szCs w:val="20"/>
        </w:rPr>
        <w:t>sex</w:t>
      </w:r>
      <w:r w:rsidRPr="00316331">
        <w:rPr>
          <w:rFonts w:ascii="Times New Roman" w:eastAsia="Calibri" w:hAnsi="Times New Roman" w:cs="Times New Roman"/>
          <w:iCs/>
          <w:sz w:val="20"/>
          <w:szCs w:val="20"/>
        </w:rPr>
        <w:t>, ethnicity) and other clinical factors (comorbid substance misuse, total previous admissions, care setting initiation). Of marginal significance, those who switched to PP1M due to ineffectiveness of previous treatments were more likely to discontinue treatment, while those who switched to PP1M for the convenience of 1-monthly administrations (versus shorter dosing intervals) were more likely to continue for 5 years.</w:t>
      </w:r>
    </w:p>
    <w:p w14:paraId="7E4AC7E1" w14:textId="77777777" w:rsidR="009A5906" w:rsidRPr="00316331" w:rsidRDefault="009A5906" w:rsidP="007F1E72">
      <w:pPr>
        <w:autoSpaceDE w:val="0"/>
        <w:autoSpaceDN w:val="0"/>
        <w:adjustRightInd w:val="0"/>
        <w:spacing w:after="0" w:line="240" w:lineRule="auto"/>
        <w:jc w:val="both"/>
        <w:rPr>
          <w:rFonts w:ascii="Times New Roman" w:eastAsia="Calibri" w:hAnsi="Times New Roman" w:cs="Times New Roman"/>
          <w:iCs/>
          <w:sz w:val="20"/>
          <w:szCs w:val="20"/>
        </w:rPr>
      </w:pPr>
    </w:p>
    <w:p w14:paraId="5F729E65" w14:textId="7D527833" w:rsidR="00B63C5C" w:rsidRPr="00316331" w:rsidRDefault="009A5906" w:rsidP="007F1E72">
      <w:pPr>
        <w:spacing w:after="0" w:line="240"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Poor tolerability was the </w:t>
      </w:r>
      <w:r w:rsidR="00381289" w:rsidRPr="00316331">
        <w:rPr>
          <w:rFonts w:ascii="Times New Roman" w:eastAsia="Calibri" w:hAnsi="Times New Roman" w:cs="Times New Roman"/>
          <w:iCs/>
          <w:sz w:val="20"/>
          <w:szCs w:val="20"/>
        </w:rPr>
        <w:t>most common</w:t>
      </w:r>
      <w:r w:rsidR="00EB3117"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reason to cease treatment (19.8%), followed by ineffectiveness (13.8%) and poor adherence (13.2%)</w:t>
      </w:r>
      <w:r w:rsidR="00EA486D" w:rsidRPr="00316331">
        <w:rPr>
          <w:rFonts w:ascii="Times New Roman" w:eastAsia="Calibri" w:hAnsi="Times New Roman" w:cs="Times New Roman"/>
          <w:iCs/>
          <w:sz w:val="20"/>
          <w:szCs w:val="20"/>
        </w:rPr>
        <w:t xml:space="preserve"> </w:t>
      </w:r>
      <w:r w:rsidR="007F1E72" w:rsidRPr="00316331">
        <w:rPr>
          <w:rFonts w:ascii="Times New Roman" w:eastAsia="Calibri" w:hAnsi="Times New Roman" w:cs="Times New Roman"/>
          <w:iCs/>
          <w:sz w:val="20"/>
          <w:szCs w:val="20"/>
        </w:rPr>
        <w:t>(</w:t>
      </w:r>
      <w:r w:rsidR="00990EFA">
        <w:rPr>
          <w:rFonts w:ascii="Times New Roman" w:eastAsia="Calibri" w:hAnsi="Times New Roman" w:cs="Times New Roman"/>
          <w:iCs/>
          <w:sz w:val="20"/>
          <w:szCs w:val="20"/>
        </w:rPr>
        <w:t>T</w:t>
      </w:r>
      <w:r w:rsidR="007F1E72" w:rsidRPr="00316331">
        <w:rPr>
          <w:rFonts w:ascii="Times New Roman" w:eastAsia="Calibri" w:hAnsi="Times New Roman" w:cs="Times New Roman"/>
          <w:iCs/>
          <w:sz w:val="20"/>
          <w:szCs w:val="20"/>
        </w:rPr>
        <w:t xml:space="preserve">able </w:t>
      </w:r>
      <w:r w:rsidR="00A8057D">
        <w:rPr>
          <w:rFonts w:ascii="Times New Roman" w:eastAsia="Calibri" w:hAnsi="Times New Roman" w:cs="Times New Roman"/>
          <w:iCs/>
          <w:sz w:val="20"/>
          <w:szCs w:val="20"/>
        </w:rPr>
        <w:t>3</w:t>
      </w:r>
      <w:r w:rsidRPr="00316331">
        <w:rPr>
          <w:rFonts w:ascii="Times New Roman" w:eastAsia="Calibri" w:hAnsi="Times New Roman" w:cs="Times New Roman"/>
          <w:iCs/>
          <w:sz w:val="20"/>
          <w:szCs w:val="20"/>
        </w:rPr>
        <w:t xml:space="preserve">). Similarly, the </w:t>
      </w:r>
      <w:r w:rsidR="00EA486D" w:rsidRPr="00316331">
        <w:rPr>
          <w:rFonts w:ascii="Times New Roman" w:eastAsia="Calibri" w:hAnsi="Times New Roman" w:cs="Times New Roman"/>
          <w:iCs/>
          <w:sz w:val="20"/>
          <w:szCs w:val="20"/>
        </w:rPr>
        <w:t>above mentioned</w:t>
      </w:r>
      <w:r w:rsidR="00EF4B16"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 xml:space="preserve">study by Mace </w:t>
      </w:r>
      <w:r w:rsidR="00381289" w:rsidRPr="00316331">
        <w:rPr>
          <w:rFonts w:ascii="Times New Roman" w:eastAsia="Calibri" w:hAnsi="Times New Roman" w:cs="Times New Roman"/>
          <w:iCs/>
          <w:sz w:val="20"/>
          <w:szCs w:val="20"/>
        </w:rPr>
        <w:t xml:space="preserve">et al </w:t>
      </w:r>
      <w:r w:rsidR="00A63137" w:rsidRPr="00316331">
        <w:rPr>
          <w:rFonts w:ascii="Times New Roman" w:eastAsia="Calibri" w:hAnsi="Times New Roman" w:cs="Times New Roman"/>
          <w:iCs/>
          <w:sz w:val="20"/>
          <w:szCs w:val="20"/>
        </w:rPr>
        <w:t>[</w:t>
      </w:r>
      <w:r w:rsidR="00381289" w:rsidRPr="00316331">
        <w:rPr>
          <w:rFonts w:ascii="Times New Roman" w:eastAsia="Calibri" w:hAnsi="Times New Roman" w:cs="Times New Roman"/>
          <w:iCs/>
          <w:sz w:val="20"/>
          <w:szCs w:val="20"/>
        </w:rPr>
        <w:t>3</w:t>
      </w:r>
      <w:r w:rsidR="0060176D">
        <w:rPr>
          <w:rFonts w:ascii="Times New Roman" w:eastAsia="Calibri" w:hAnsi="Times New Roman" w:cs="Times New Roman"/>
          <w:iCs/>
          <w:sz w:val="20"/>
          <w:szCs w:val="20"/>
        </w:rPr>
        <w:t>7</w:t>
      </w:r>
      <w:r w:rsidR="00A63137" w:rsidRPr="00316331">
        <w:rPr>
          <w:rFonts w:ascii="Times New Roman" w:eastAsia="Calibri" w:hAnsi="Times New Roman" w:cs="Times New Roman"/>
          <w:iCs/>
          <w:sz w:val="20"/>
          <w:szCs w:val="20"/>
        </w:rPr>
        <w:t>]</w:t>
      </w:r>
      <w:r w:rsidR="00381289"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 xml:space="preserve">recorded as the most frequent discontinuation reasons poor tolerability (25%), patient </w:t>
      </w:r>
      <w:r w:rsidR="00445E3A" w:rsidRPr="00316331">
        <w:rPr>
          <w:rFonts w:ascii="Times New Roman" w:eastAsia="Calibri" w:hAnsi="Times New Roman" w:cs="Times New Roman"/>
          <w:iCs/>
          <w:sz w:val="20"/>
          <w:szCs w:val="20"/>
        </w:rPr>
        <w:t>refusal</w:t>
      </w:r>
      <w:r w:rsidR="004D59E2"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(20%) and ineffectiveness (18%).</w:t>
      </w:r>
      <w:r w:rsidR="00EF4B16" w:rsidRPr="00316331">
        <w:rPr>
          <w:rFonts w:ascii="Times New Roman" w:eastAsia="Calibri" w:hAnsi="Times New Roman" w:cs="Times New Roman"/>
          <w:iCs/>
          <w:sz w:val="20"/>
          <w:szCs w:val="20"/>
        </w:rPr>
        <w:t xml:space="preserve"> </w:t>
      </w:r>
      <w:r w:rsidR="005D07FB" w:rsidRPr="00316331">
        <w:rPr>
          <w:rFonts w:ascii="Times New Roman" w:eastAsia="Calibri" w:hAnsi="Times New Roman" w:cs="Times New Roman"/>
          <w:iCs/>
          <w:sz w:val="20"/>
          <w:szCs w:val="20"/>
        </w:rPr>
        <w:t>Additionall</w:t>
      </w:r>
      <w:r w:rsidR="001B6B05" w:rsidRPr="00316331">
        <w:rPr>
          <w:rFonts w:ascii="Times New Roman" w:eastAsia="Calibri" w:hAnsi="Times New Roman" w:cs="Times New Roman"/>
          <w:iCs/>
          <w:sz w:val="20"/>
          <w:szCs w:val="20"/>
        </w:rPr>
        <w:t xml:space="preserve">y, a study </w:t>
      </w:r>
      <w:r w:rsidRPr="00316331">
        <w:rPr>
          <w:rFonts w:ascii="Times New Roman" w:eastAsia="Calibri" w:hAnsi="Times New Roman" w:cs="Times New Roman"/>
          <w:iCs/>
          <w:sz w:val="20"/>
          <w:szCs w:val="20"/>
        </w:rPr>
        <w:t xml:space="preserve">comparing long-acting and oral risperidone </w:t>
      </w:r>
      <w:r w:rsidR="001B6B05" w:rsidRPr="00316331">
        <w:rPr>
          <w:rFonts w:ascii="Times New Roman" w:eastAsia="Calibri" w:hAnsi="Times New Roman" w:cs="Times New Roman"/>
          <w:iCs/>
          <w:sz w:val="20"/>
          <w:szCs w:val="20"/>
        </w:rPr>
        <w:t xml:space="preserve">in patients with early psychosis </w:t>
      </w:r>
      <w:r w:rsidRPr="00316331">
        <w:rPr>
          <w:rFonts w:ascii="Times New Roman" w:eastAsia="Calibri" w:hAnsi="Times New Roman" w:cs="Times New Roman"/>
          <w:iCs/>
          <w:sz w:val="20"/>
          <w:szCs w:val="20"/>
        </w:rPr>
        <w:t xml:space="preserve">found that the discontinuation rate was double </w:t>
      </w:r>
      <w:r w:rsidR="001B6B05" w:rsidRPr="00316331">
        <w:rPr>
          <w:rFonts w:ascii="Times New Roman" w:eastAsia="Calibri" w:hAnsi="Times New Roman" w:cs="Times New Roman"/>
          <w:iCs/>
          <w:sz w:val="20"/>
          <w:szCs w:val="20"/>
        </w:rPr>
        <w:t>due to adverse effects</w:t>
      </w:r>
      <w:r w:rsidR="00D34467" w:rsidRPr="00316331">
        <w:rPr>
          <w:rFonts w:ascii="Times New Roman" w:eastAsia="Calibri" w:hAnsi="Times New Roman" w:cs="Times New Roman"/>
          <w:iCs/>
          <w:sz w:val="20"/>
          <w:szCs w:val="20"/>
        </w:rPr>
        <w:t xml:space="preserve"> (21 vs. 10%)</w:t>
      </w:r>
      <w:r w:rsidR="001B6B05" w:rsidRPr="00316331">
        <w:rPr>
          <w:rFonts w:ascii="Times New Roman" w:eastAsia="Calibri" w:hAnsi="Times New Roman" w:cs="Times New Roman"/>
          <w:iCs/>
          <w:sz w:val="20"/>
          <w:szCs w:val="20"/>
        </w:rPr>
        <w:t xml:space="preserve"> </w:t>
      </w:r>
      <w:r w:rsidR="00D34467" w:rsidRPr="00316331">
        <w:rPr>
          <w:rFonts w:ascii="Times New Roman" w:eastAsia="Calibri" w:hAnsi="Times New Roman" w:cs="Times New Roman"/>
          <w:iCs/>
          <w:sz w:val="20"/>
          <w:szCs w:val="20"/>
        </w:rPr>
        <w:t xml:space="preserve">and also higher due to lack of efficacy </w:t>
      </w:r>
      <w:r w:rsidRPr="00316331">
        <w:rPr>
          <w:rFonts w:ascii="Times New Roman" w:eastAsia="Calibri" w:hAnsi="Times New Roman" w:cs="Times New Roman"/>
          <w:iCs/>
          <w:sz w:val="20"/>
          <w:szCs w:val="20"/>
        </w:rPr>
        <w:t>for the oral versus the long</w:t>
      </w:r>
      <w:r w:rsidR="00716A25" w:rsidRPr="00316331">
        <w:rPr>
          <w:rFonts w:ascii="Times New Roman" w:eastAsia="Calibri" w:hAnsi="Times New Roman" w:cs="Times New Roman"/>
          <w:iCs/>
          <w:sz w:val="20"/>
          <w:szCs w:val="20"/>
        </w:rPr>
        <w:t>-</w:t>
      </w:r>
      <w:r w:rsidRPr="00316331">
        <w:rPr>
          <w:rFonts w:ascii="Times New Roman" w:eastAsia="Calibri" w:hAnsi="Times New Roman" w:cs="Times New Roman"/>
          <w:iCs/>
          <w:sz w:val="20"/>
          <w:szCs w:val="20"/>
        </w:rPr>
        <w:t xml:space="preserve">acting formulation </w:t>
      </w:r>
      <w:r w:rsidR="00EA486D" w:rsidRPr="00316331">
        <w:rPr>
          <w:rFonts w:ascii="Times New Roman" w:eastAsia="Calibri" w:hAnsi="Times New Roman" w:cs="Times New Roman"/>
          <w:iCs/>
          <w:sz w:val="20"/>
          <w:szCs w:val="20"/>
        </w:rPr>
        <w:t>[</w:t>
      </w:r>
      <w:r w:rsidR="0060176D">
        <w:rPr>
          <w:rFonts w:ascii="Times New Roman" w:eastAsia="Calibri" w:hAnsi="Times New Roman" w:cs="Times New Roman"/>
          <w:iCs/>
          <w:sz w:val="20"/>
          <w:szCs w:val="20"/>
        </w:rPr>
        <w:t>31</w:t>
      </w:r>
      <w:r w:rsidR="00EA486D" w:rsidRPr="00316331">
        <w:rPr>
          <w:rFonts w:ascii="Times New Roman" w:eastAsia="Calibri" w:hAnsi="Times New Roman" w:cs="Times New Roman"/>
          <w:iCs/>
          <w:sz w:val="20"/>
          <w:szCs w:val="20"/>
        </w:rPr>
        <w:t xml:space="preserve">]. </w:t>
      </w:r>
      <w:bookmarkEnd w:id="1"/>
    </w:p>
    <w:p w14:paraId="56BE17C7" w14:textId="77777777" w:rsidR="00284709" w:rsidRPr="00316331" w:rsidRDefault="00284709" w:rsidP="007F1E72">
      <w:pPr>
        <w:spacing w:after="0" w:line="240" w:lineRule="auto"/>
        <w:jc w:val="both"/>
        <w:rPr>
          <w:rFonts w:ascii="Times New Roman" w:eastAsia="Calibri" w:hAnsi="Times New Roman" w:cs="Times New Roman"/>
          <w:iCs/>
          <w:sz w:val="20"/>
          <w:szCs w:val="20"/>
        </w:rPr>
      </w:pPr>
    </w:p>
    <w:p w14:paraId="5DC7CD8D" w14:textId="737E2EA0" w:rsidR="00E75C14" w:rsidRPr="00AA5B69" w:rsidRDefault="00E75C14" w:rsidP="0089336D">
      <w:pPr>
        <w:pStyle w:val="Heading1"/>
        <w:rPr>
          <w:rFonts w:ascii="Times New Roman" w:eastAsia="Calibri" w:hAnsi="Times New Roman" w:cs="Times New Roman"/>
          <w:sz w:val="24"/>
          <w:szCs w:val="24"/>
        </w:rPr>
      </w:pPr>
      <w:r w:rsidRPr="00AA5B69">
        <w:rPr>
          <w:rFonts w:ascii="Times New Roman" w:eastAsia="Calibri" w:hAnsi="Times New Roman" w:cs="Times New Roman"/>
          <w:sz w:val="24"/>
          <w:szCs w:val="24"/>
        </w:rPr>
        <w:t xml:space="preserve">5.0 </w:t>
      </w:r>
      <w:r w:rsidR="00667B81" w:rsidRPr="00AA5B69">
        <w:rPr>
          <w:rFonts w:ascii="Times New Roman" w:eastAsia="Calibri" w:hAnsi="Times New Roman" w:cs="Times New Roman"/>
          <w:sz w:val="24"/>
          <w:szCs w:val="24"/>
        </w:rPr>
        <w:t>Strengths and limitations</w:t>
      </w:r>
    </w:p>
    <w:p w14:paraId="4ACF9A4C" w14:textId="77777777" w:rsidR="0089336D" w:rsidRPr="0089336D" w:rsidRDefault="0089336D" w:rsidP="0089336D"/>
    <w:p w14:paraId="1EF149CC" w14:textId="1482B488" w:rsidR="00634D48" w:rsidRPr="00316331" w:rsidRDefault="00667B81" w:rsidP="007F1E72">
      <w:pPr>
        <w:spacing w:after="160" w:line="259"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This study was designed and conducted independently, without </w:t>
      </w:r>
      <w:r w:rsidR="00DC0A40" w:rsidRPr="00316331">
        <w:rPr>
          <w:rFonts w:ascii="Times New Roman" w:eastAsia="Calibri" w:hAnsi="Times New Roman" w:cs="Times New Roman"/>
          <w:iCs/>
          <w:sz w:val="20"/>
          <w:szCs w:val="20"/>
        </w:rPr>
        <w:t xml:space="preserve">any external funding or support in order to minimise </w:t>
      </w:r>
      <w:r w:rsidRPr="00316331">
        <w:rPr>
          <w:rFonts w:ascii="Times New Roman" w:eastAsia="Calibri" w:hAnsi="Times New Roman" w:cs="Times New Roman"/>
          <w:iCs/>
          <w:sz w:val="20"/>
          <w:szCs w:val="20"/>
        </w:rPr>
        <w:t>potential bias. The five-year follow up period</w:t>
      </w:r>
      <w:r w:rsidR="00DC0A40" w:rsidRPr="00316331">
        <w:rPr>
          <w:rFonts w:ascii="Times New Roman" w:eastAsia="Calibri" w:hAnsi="Times New Roman" w:cs="Times New Roman"/>
          <w:iCs/>
          <w:sz w:val="20"/>
          <w:szCs w:val="20"/>
        </w:rPr>
        <w:t xml:space="preserve"> </w:t>
      </w:r>
      <w:r w:rsidR="009A1383" w:rsidRPr="00316331">
        <w:rPr>
          <w:rFonts w:ascii="Times New Roman" w:eastAsia="Calibri" w:hAnsi="Times New Roman" w:cs="Times New Roman"/>
          <w:iCs/>
          <w:sz w:val="20"/>
          <w:szCs w:val="20"/>
        </w:rPr>
        <w:t>and ten-</w:t>
      </w:r>
      <w:r w:rsidR="00634D48" w:rsidRPr="00316331">
        <w:rPr>
          <w:rFonts w:ascii="Times New Roman" w:eastAsia="Calibri" w:hAnsi="Times New Roman" w:cs="Times New Roman"/>
          <w:iCs/>
          <w:sz w:val="20"/>
          <w:szCs w:val="20"/>
        </w:rPr>
        <w:t>year mirror image design</w:t>
      </w:r>
      <w:r w:rsidR="00B57D99" w:rsidRPr="00316331">
        <w:rPr>
          <w:rFonts w:ascii="Times New Roman" w:eastAsia="Calibri" w:hAnsi="Times New Roman" w:cs="Times New Roman"/>
          <w:iCs/>
          <w:sz w:val="20"/>
          <w:szCs w:val="20"/>
        </w:rPr>
        <w:t xml:space="preserve"> and</w:t>
      </w:r>
      <w:r w:rsidR="00B611DB" w:rsidRPr="00316331">
        <w:rPr>
          <w:rFonts w:ascii="Times New Roman" w:eastAsia="Calibri" w:hAnsi="Times New Roman" w:cs="Times New Roman"/>
          <w:iCs/>
          <w:sz w:val="20"/>
          <w:szCs w:val="20"/>
        </w:rPr>
        <w:t xml:space="preserve"> a relatively</w:t>
      </w:r>
      <w:r w:rsidRPr="00316331">
        <w:rPr>
          <w:rFonts w:ascii="Times New Roman" w:eastAsia="Calibri" w:hAnsi="Times New Roman" w:cs="Times New Roman"/>
          <w:iCs/>
          <w:sz w:val="20"/>
          <w:szCs w:val="20"/>
        </w:rPr>
        <w:t xml:space="preserve"> larg</w:t>
      </w:r>
      <w:r w:rsidR="00B611DB" w:rsidRPr="00316331">
        <w:rPr>
          <w:rFonts w:ascii="Times New Roman" w:eastAsia="Calibri" w:hAnsi="Times New Roman" w:cs="Times New Roman"/>
          <w:iCs/>
          <w:sz w:val="20"/>
          <w:szCs w:val="20"/>
        </w:rPr>
        <w:t xml:space="preserve">e </w:t>
      </w:r>
      <w:r w:rsidR="00B57D99" w:rsidRPr="00316331">
        <w:rPr>
          <w:rFonts w:ascii="Times New Roman" w:eastAsia="Calibri" w:hAnsi="Times New Roman" w:cs="Times New Roman"/>
          <w:iCs/>
          <w:sz w:val="20"/>
          <w:szCs w:val="20"/>
        </w:rPr>
        <w:t xml:space="preserve">initial </w:t>
      </w:r>
      <w:r w:rsidR="00B611DB" w:rsidRPr="00316331">
        <w:rPr>
          <w:rFonts w:ascii="Times New Roman" w:eastAsia="Calibri" w:hAnsi="Times New Roman" w:cs="Times New Roman"/>
          <w:iCs/>
          <w:sz w:val="20"/>
          <w:szCs w:val="20"/>
        </w:rPr>
        <w:t xml:space="preserve">sample size </w:t>
      </w:r>
      <w:r w:rsidR="00B57D99" w:rsidRPr="00316331">
        <w:rPr>
          <w:rFonts w:ascii="Times New Roman" w:eastAsia="Calibri" w:hAnsi="Times New Roman" w:cs="Times New Roman"/>
          <w:iCs/>
          <w:sz w:val="20"/>
          <w:szCs w:val="20"/>
        </w:rPr>
        <w:t xml:space="preserve">are </w:t>
      </w:r>
      <w:r w:rsidR="00B611DB" w:rsidRPr="00316331">
        <w:rPr>
          <w:rFonts w:ascii="Times New Roman" w:eastAsia="Calibri" w:hAnsi="Times New Roman" w:cs="Times New Roman"/>
          <w:iCs/>
          <w:sz w:val="20"/>
          <w:szCs w:val="20"/>
        </w:rPr>
        <w:t xml:space="preserve">the other main </w:t>
      </w:r>
      <w:r w:rsidRPr="00316331">
        <w:rPr>
          <w:rFonts w:ascii="Times New Roman" w:eastAsia="Calibri" w:hAnsi="Times New Roman" w:cs="Times New Roman"/>
          <w:iCs/>
          <w:sz w:val="20"/>
          <w:szCs w:val="20"/>
        </w:rPr>
        <w:t>strengths o</w:t>
      </w:r>
      <w:r w:rsidR="00B611DB" w:rsidRPr="00316331">
        <w:rPr>
          <w:rFonts w:ascii="Times New Roman" w:eastAsia="Calibri" w:hAnsi="Times New Roman" w:cs="Times New Roman"/>
          <w:iCs/>
          <w:sz w:val="20"/>
          <w:szCs w:val="20"/>
        </w:rPr>
        <w:t>f the study with good</w:t>
      </w:r>
      <w:r w:rsidRPr="00316331">
        <w:rPr>
          <w:rFonts w:ascii="Times New Roman" w:eastAsia="Calibri" w:hAnsi="Times New Roman" w:cs="Times New Roman"/>
          <w:iCs/>
          <w:sz w:val="20"/>
          <w:szCs w:val="20"/>
        </w:rPr>
        <w:t xml:space="preserve"> retention rates </w:t>
      </w:r>
      <w:r w:rsidR="00B611DB" w:rsidRPr="00316331">
        <w:rPr>
          <w:rFonts w:ascii="Times New Roman" w:eastAsia="Calibri" w:hAnsi="Times New Roman" w:cs="Times New Roman"/>
          <w:iCs/>
          <w:sz w:val="20"/>
          <w:szCs w:val="20"/>
        </w:rPr>
        <w:t>further increasing</w:t>
      </w:r>
      <w:r w:rsidRPr="00316331">
        <w:rPr>
          <w:rFonts w:ascii="Times New Roman" w:eastAsia="Calibri" w:hAnsi="Times New Roman" w:cs="Times New Roman"/>
          <w:iCs/>
          <w:sz w:val="20"/>
          <w:szCs w:val="20"/>
        </w:rPr>
        <w:t xml:space="preserve"> the validity of the results. </w:t>
      </w:r>
      <w:r w:rsidR="00634D48" w:rsidRPr="00316331">
        <w:rPr>
          <w:rFonts w:ascii="Times New Roman" w:eastAsia="Calibri" w:hAnsi="Times New Roman" w:cs="Times New Roman"/>
          <w:iCs/>
          <w:sz w:val="20"/>
          <w:szCs w:val="20"/>
        </w:rPr>
        <w:t xml:space="preserve">Furthermore, the </w:t>
      </w:r>
      <w:r w:rsidR="00990EFA">
        <w:rPr>
          <w:rFonts w:ascii="Times New Roman" w:eastAsia="Calibri" w:hAnsi="Times New Roman" w:cs="Times New Roman"/>
          <w:iCs/>
          <w:sz w:val="20"/>
          <w:szCs w:val="20"/>
        </w:rPr>
        <w:t>s</w:t>
      </w:r>
      <w:r w:rsidR="00634D48" w:rsidRPr="00316331">
        <w:rPr>
          <w:rFonts w:ascii="Times New Roman" w:eastAsia="Calibri" w:hAnsi="Times New Roman" w:cs="Times New Roman"/>
          <w:iCs/>
          <w:sz w:val="20"/>
          <w:szCs w:val="20"/>
        </w:rPr>
        <w:t>chizophrenia group was reported on separately providing additional insight</w:t>
      </w:r>
      <w:r w:rsidR="009A1383" w:rsidRPr="00316331">
        <w:rPr>
          <w:rFonts w:ascii="Times New Roman" w:eastAsia="Calibri" w:hAnsi="Times New Roman" w:cs="Times New Roman"/>
          <w:iCs/>
          <w:sz w:val="20"/>
          <w:szCs w:val="20"/>
        </w:rPr>
        <w:t xml:space="preserve">s of </w:t>
      </w:r>
      <w:r w:rsidR="001943AD" w:rsidRPr="00316331">
        <w:rPr>
          <w:rFonts w:ascii="Times New Roman" w:eastAsia="Calibri" w:hAnsi="Times New Roman" w:cs="Times New Roman"/>
          <w:iCs/>
          <w:sz w:val="20"/>
          <w:szCs w:val="20"/>
        </w:rPr>
        <w:t>everyday clinical</w:t>
      </w:r>
      <w:r w:rsidR="009A1383" w:rsidRPr="00316331">
        <w:rPr>
          <w:rFonts w:ascii="Times New Roman" w:eastAsia="Calibri" w:hAnsi="Times New Roman" w:cs="Times New Roman"/>
          <w:iCs/>
          <w:sz w:val="20"/>
          <w:szCs w:val="20"/>
        </w:rPr>
        <w:t xml:space="preserve"> use and impact of PP1M regarding its main treatment indication</w:t>
      </w:r>
      <w:r w:rsidR="00634D48" w:rsidRPr="00316331">
        <w:rPr>
          <w:rFonts w:ascii="Times New Roman" w:eastAsia="Calibri" w:hAnsi="Times New Roman" w:cs="Times New Roman"/>
          <w:iCs/>
          <w:sz w:val="20"/>
          <w:szCs w:val="20"/>
        </w:rPr>
        <w:t>.</w:t>
      </w:r>
    </w:p>
    <w:p w14:paraId="4993E925" w14:textId="7554804C" w:rsidR="00734987" w:rsidRPr="00316331" w:rsidRDefault="009A1383" w:rsidP="007F1E72">
      <w:pPr>
        <w:spacing w:after="160" w:line="259" w:lineRule="auto"/>
        <w:jc w:val="both"/>
        <w:rPr>
          <w:rFonts w:ascii="Times New Roman" w:eastAsia="Calibri" w:hAnsi="Times New Roman" w:cs="Times New Roman"/>
          <w:iCs/>
          <w:sz w:val="20"/>
          <w:szCs w:val="20"/>
        </w:rPr>
      </w:pPr>
      <w:r w:rsidRPr="00316331">
        <w:rPr>
          <w:rFonts w:ascii="Times New Roman" w:eastAsia="Calibri" w:hAnsi="Times New Roman" w:cs="Times New Roman"/>
          <w:iCs/>
          <w:sz w:val="20"/>
          <w:szCs w:val="20"/>
        </w:rPr>
        <w:t xml:space="preserve">Whilst a mirror image design is advantageous in examining “real world” clinical outcomes especially in this patient group, the </w:t>
      </w:r>
      <w:r w:rsidR="00667B81" w:rsidRPr="00316331">
        <w:rPr>
          <w:rFonts w:ascii="Times New Roman" w:eastAsia="Calibri" w:hAnsi="Times New Roman" w:cs="Times New Roman"/>
          <w:iCs/>
          <w:sz w:val="20"/>
          <w:szCs w:val="20"/>
        </w:rPr>
        <w:t xml:space="preserve">open, </w:t>
      </w:r>
      <w:r w:rsidRPr="00316331">
        <w:rPr>
          <w:rFonts w:ascii="Times New Roman" w:eastAsia="Calibri" w:hAnsi="Times New Roman" w:cs="Times New Roman"/>
          <w:iCs/>
          <w:sz w:val="20"/>
          <w:szCs w:val="20"/>
        </w:rPr>
        <w:t xml:space="preserve">observational </w:t>
      </w:r>
      <w:r w:rsidR="00667B81" w:rsidRPr="00316331">
        <w:rPr>
          <w:rFonts w:ascii="Times New Roman" w:eastAsia="Calibri" w:hAnsi="Times New Roman" w:cs="Times New Roman"/>
          <w:iCs/>
          <w:sz w:val="20"/>
          <w:szCs w:val="20"/>
        </w:rPr>
        <w:t>nature of the study</w:t>
      </w:r>
      <w:r w:rsidRPr="00316331">
        <w:rPr>
          <w:rFonts w:ascii="Times New Roman" w:eastAsia="Calibri" w:hAnsi="Times New Roman" w:cs="Times New Roman"/>
          <w:iCs/>
          <w:sz w:val="20"/>
          <w:szCs w:val="20"/>
        </w:rPr>
        <w:t xml:space="preserve"> and</w:t>
      </w:r>
      <w:r w:rsidR="00667B81" w:rsidRPr="00316331">
        <w:rPr>
          <w:rFonts w:ascii="Times New Roman" w:eastAsia="Calibri" w:hAnsi="Times New Roman" w:cs="Times New Roman"/>
          <w:iCs/>
          <w:sz w:val="20"/>
          <w:szCs w:val="20"/>
        </w:rPr>
        <w:t xml:space="preserve"> </w:t>
      </w:r>
      <w:r w:rsidRPr="00316331">
        <w:rPr>
          <w:rFonts w:ascii="Times New Roman" w:eastAsia="Calibri" w:hAnsi="Times New Roman" w:cs="Times New Roman"/>
          <w:iCs/>
          <w:sz w:val="20"/>
          <w:szCs w:val="20"/>
        </w:rPr>
        <w:t xml:space="preserve">the lack of a control group comes with implicit </w:t>
      </w:r>
      <w:r w:rsidRPr="00316331">
        <w:rPr>
          <w:rFonts w:ascii="Times New Roman" w:eastAsia="Calibri" w:hAnsi="Times New Roman" w:cs="Times New Roman"/>
          <w:iCs/>
          <w:sz w:val="20"/>
          <w:szCs w:val="20"/>
        </w:rPr>
        <w:lastRenderedPageBreak/>
        <w:t xml:space="preserve">limitations. Thus </w:t>
      </w:r>
      <w:r w:rsidR="00667B81" w:rsidRPr="00316331">
        <w:rPr>
          <w:rFonts w:ascii="Times New Roman" w:eastAsia="Calibri" w:hAnsi="Times New Roman" w:cs="Times New Roman"/>
          <w:iCs/>
          <w:sz w:val="20"/>
          <w:szCs w:val="20"/>
        </w:rPr>
        <w:t xml:space="preserve">socioeconomic variables, advancing age of patients </w:t>
      </w:r>
      <w:r w:rsidR="004E271E" w:rsidRPr="00316331">
        <w:rPr>
          <w:rFonts w:ascii="Times New Roman" w:eastAsia="Calibri" w:hAnsi="Times New Roman" w:cs="Times New Roman"/>
          <w:iCs/>
          <w:sz w:val="20"/>
          <w:szCs w:val="20"/>
        </w:rPr>
        <w:t xml:space="preserve">and time-related factors (e.g. </w:t>
      </w:r>
      <w:r w:rsidR="00667B81" w:rsidRPr="00316331">
        <w:rPr>
          <w:rFonts w:ascii="Times New Roman" w:eastAsia="Calibri" w:hAnsi="Times New Roman" w:cs="Times New Roman"/>
          <w:iCs/>
          <w:sz w:val="20"/>
          <w:szCs w:val="20"/>
        </w:rPr>
        <w:t>hospitalisation criteria and chan</w:t>
      </w:r>
      <w:r w:rsidRPr="00316331">
        <w:rPr>
          <w:rFonts w:ascii="Times New Roman" w:eastAsia="Calibri" w:hAnsi="Times New Roman" w:cs="Times New Roman"/>
          <w:iCs/>
          <w:sz w:val="20"/>
          <w:szCs w:val="20"/>
        </w:rPr>
        <w:t>ges in clinical practice) could not</w:t>
      </w:r>
      <w:r w:rsidR="00667B81" w:rsidRPr="00316331">
        <w:rPr>
          <w:rFonts w:ascii="Times New Roman" w:eastAsia="Calibri" w:hAnsi="Times New Roman" w:cs="Times New Roman"/>
          <w:iCs/>
          <w:sz w:val="20"/>
          <w:szCs w:val="20"/>
        </w:rPr>
        <w:t xml:space="preserve"> be accounted for. </w:t>
      </w:r>
      <w:r w:rsidR="00DE7E4D" w:rsidRPr="00316331">
        <w:rPr>
          <w:rFonts w:ascii="Times New Roman" w:eastAsia="Calibri" w:hAnsi="Times New Roman" w:cs="Times New Roman"/>
          <w:iCs/>
          <w:sz w:val="20"/>
          <w:szCs w:val="20"/>
        </w:rPr>
        <w:t>The main reason PP1M was selected for this study is that it is available for a longer period of time thus allowing the collection of data with a long</w:t>
      </w:r>
      <w:r w:rsidR="0077456A" w:rsidRPr="00316331">
        <w:rPr>
          <w:rFonts w:ascii="Times New Roman" w:eastAsia="Calibri" w:hAnsi="Times New Roman" w:cs="Times New Roman"/>
          <w:iCs/>
          <w:sz w:val="20"/>
          <w:szCs w:val="20"/>
        </w:rPr>
        <w:t>er</w:t>
      </w:r>
      <w:r w:rsidR="00DE7E4D" w:rsidRPr="00316331">
        <w:rPr>
          <w:rFonts w:ascii="Times New Roman" w:eastAsia="Calibri" w:hAnsi="Times New Roman" w:cs="Times New Roman"/>
          <w:iCs/>
          <w:sz w:val="20"/>
          <w:szCs w:val="20"/>
        </w:rPr>
        <w:t xml:space="preserve"> </w:t>
      </w:r>
      <w:r w:rsidR="00FE34FF" w:rsidRPr="00316331">
        <w:rPr>
          <w:rFonts w:ascii="Times New Roman" w:eastAsia="Calibri" w:hAnsi="Times New Roman" w:cs="Times New Roman"/>
          <w:iCs/>
          <w:sz w:val="20"/>
          <w:szCs w:val="20"/>
        </w:rPr>
        <w:t xml:space="preserve">duration of </w:t>
      </w:r>
      <w:r w:rsidR="00DE7E4D" w:rsidRPr="00316331">
        <w:rPr>
          <w:rFonts w:ascii="Times New Roman" w:eastAsia="Calibri" w:hAnsi="Times New Roman" w:cs="Times New Roman"/>
          <w:iCs/>
          <w:sz w:val="20"/>
          <w:szCs w:val="20"/>
        </w:rPr>
        <w:t xml:space="preserve">follow-up. </w:t>
      </w:r>
      <w:r w:rsidR="00FE34FF" w:rsidRPr="00316331">
        <w:rPr>
          <w:rFonts w:ascii="Times New Roman" w:eastAsia="Calibri" w:hAnsi="Times New Roman" w:cs="Times New Roman"/>
          <w:iCs/>
          <w:sz w:val="20"/>
          <w:szCs w:val="20"/>
        </w:rPr>
        <w:t xml:space="preserve">On the downside, the generalisability of findings may be further hampered by the study design. </w:t>
      </w:r>
      <w:r w:rsidR="00667B81" w:rsidRPr="00316331">
        <w:rPr>
          <w:rFonts w:ascii="Times New Roman" w:eastAsia="Calibri" w:hAnsi="Times New Roman" w:cs="Times New Roman"/>
          <w:iCs/>
          <w:sz w:val="20"/>
          <w:szCs w:val="20"/>
        </w:rPr>
        <w:t xml:space="preserve">Additionally, </w:t>
      </w:r>
      <w:r w:rsidR="004E271E" w:rsidRPr="00316331">
        <w:rPr>
          <w:rFonts w:ascii="Times New Roman" w:eastAsia="Calibri" w:hAnsi="Times New Roman" w:cs="Times New Roman"/>
          <w:iCs/>
          <w:sz w:val="20"/>
          <w:szCs w:val="20"/>
        </w:rPr>
        <w:t xml:space="preserve">the quality of the records may have been variable and </w:t>
      </w:r>
      <w:r w:rsidR="00667B81" w:rsidRPr="00316331">
        <w:rPr>
          <w:rFonts w:ascii="Times New Roman" w:eastAsia="Calibri" w:hAnsi="Times New Roman" w:cs="Times New Roman"/>
          <w:iCs/>
          <w:sz w:val="20"/>
          <w:szCs w:val="20"/>
        </w:rPr>
        <w:t xml:space="preserve">disease severity could not be assessed formally with the use of a validated rating scale </w:t>
      </w:r>
      <w:r w:rsidRPr="00316331">
        <w:rPr>
          <w:rFonts w:ascii="Times New Roman" w:eastAsia="Calibri" w:hAnsi="Times New Roman" w:cs="Times New Roman"/>
          <w:iCs/>
          <w:sz w:val="20"/>
          <w:szCs w:val="20"/>
        </w:rPr>
        <w:t>a</w:t>
      </w:r>
      <w:r w:rsidR="00667B81" w:rsidRPr="00316331">
        <w:rPr>
          <w:rFonts w:ascii="Times New Roman" w:eastAsia="Calibri" w:hAnsi="Times New Roman" w:cs="Times New Roman"/>
          <w:iCs/>
          <w:sz w:val="20"/>
          <w:szCs w:val="20"/>
        </w:rPr>
        <w:t>lthough, number and length</w:t>
      </w:r>
      <w:r w:rsidRPr="00316331">
        <w:rPr>
          <w:rFonts w:ascii="Times New Roman" w:eastAsia="Calibri" w:hAnsi="Times New Roman" w:cs="Times New Roman"/>
          <w:iCs/>
          <w:sz w:val="20"/>
          <w:szCs w:val="20"/>
        </w:rPr>
        <w:t xml:space="preserve"> of admissions may act as</w:t>
      </w:r>
      <w:r w:rsidR="00667B81" w:rsidRPr="00316331">
        <w:rPr>
          <w:rFonts w:ascii="Times New Roman" w:eastAsia="Calibri" w:hAnsi="Times New Roman" w:cs="Times New Roman"/>
          <w:iCs/>
          <w:sz w:val="20"/>
          <w:szCs w:val="20"/>
        </w:rPr>
        <w:t xml:space="preserve"> a proxy measuremen</w:t>
      </w:r>
      <w:r w:rsidR="005C42D2">
        <w:rPr>
          <w:rFonts w:ascii="Times New Roman" w:eastAsia="Calibri" w:hAnsi="Times New Roman" w:cs="Times New Roman"/>
          <w:iCs/>
          <w:sz w:val="20"/>
          <w:szCs w:val="20"/>
        </w:rPr>
        <w:t>t as baseline severity of illness has been shown to be one of the correlates of inpatient stay [44]</w:t>
      </w:r>
      <w:r w:rsidR="00667B81" w:rsidRPr="00316331">
        <w:rPr>
          <w:rFonts w:ascii="Times New Roman" w:eastAsia="Calibri" w:hAnsi="Times New Roman" w:cs="Times New Roman"/>
          <w:iCs/>
          <w:sz w:val="20"/>
          <w:szCs w:val="20"/>
        </w:rPr>
        <w:t>.</w:t>
      </w:r>
      <w:r w:rsidR="00F2629E" w:rsidRPr="00316331">
        <w:rPr>
          <w:rFonts w:ascii="Times New Roman" w:eastAsia="Calibri" w:hAnsi="Times New Roman" w:cs="Times New Roman"/>
          <w:iCs/>
          <w:sz w:val="20"/>
          <w:szCs w:val="20"/>
        </w:rPr>
        <w:t xml:space="preserve"> In this study adverse effects were only reported if they led to discontinuation of the medication and thus will not provide complete information about the frequency of side effects, particularly those which may be more tolerable.</w:t>
      </w:r>
      <w:r w:rsidR="00734987" w:rsidRPr="00316331">
        <w:rPr>
          <w:rFonts w:ascii="Times New Roman" w:eastAsia="Calibri" w:hAnsi="Times New Roman" w:cs="Times New Roman"/>
          <w:iCs/>
          <w:sz w:val="20"/>
          <w:szCs w:val="20"/>
        </w:rPr>
        <w:t xml:space="preserve"> </w:t>
      </w:r>
      <w:r w:rsidR="00DA1947" w:rsidRPr="00316331">
        <w:rPr>
          <w:rFonts w:ascii="Times New Roman" w:eastAsia="Calibri" w:hAnsi="Times New Roman" w:cs="Times New Roman"/>
          <w:iCs/>
          <w:sz w:val="20"/>
          <w:szCs w:val="20"/>
        </w:rPr>
        <w:t xml:space="preserve">Finally, patients were excluded from the study if there were no complete records during the duration of the study; this was usually if they moved out of the area, thus the length of follow up does increase the number of excluded patients. </w:t>
      </w:r>
    </w:p>
    <w:p w14:paraId="0DEF42F6" w14:textId="48D44B76" w:rsidR="00667B81" w:rsidRPr="00AA5B69" w:rsidRDefault="00E75C14" w:rsidP="00734987">
      <w:pPr>
        <w:pStyle w:val="Heading1"/>
        <w:rPr>
          <w:rFonts w:ascii="Times New Roman" w:eastAsia="Calibri" w:hAnsi="Times New Roman" w:cs="Times New Roman"/>
          <w:sz w:val="24"/>
          <w:szCs w:val="24"/>
        </w:rPr>
      </w:pPr>
      <w:r w:rsidRPr="00AA5B69">
        <w:rPr>
          <w:rFonts w:ascii="Times New Roman" w:eastAsia="Calibri" w:hAnsi="Times New Roman" w:cs="Times New Roman"/>
          <w:sz w:val="24"/>
          <w:szCs w:val="24"/>
        </w:rPr>
        <w:t xml:space="preserve">6.0 </w:t>
      </w:r>
      <w:r w:rsidR="00667B81" w:rsidRPr="00AA5B69">
        <w:rPr>
          <w:rFonts w:ascii="Times New Roman" w:eastAsia="Calibri" w:hAnsi="Times New Roman" w:cs="Times New Roman"/>
          <w:sz w:val="24"/>
          <w:szCs w:val="24"/>
        </w:rPr>
        <w:t>Conclusion</w:t>
      </w:r>
    </w:p>
    <w:p w14:paraId="2EE89CAD" w14:textId="77777777" w:rsidR="00667B81" w:rsidRPr="00316331" w:rsidRDefault="00667B81" w:rsidP="007F1E72">
      <w:pPr>
        <w:spacing w:after="0" w:line="240" w:lineRule="auto"/>
        <w:jc w:val="both"/>
        <w:rPr>
          <w:rFonts w:ascii="Times New Roman" w:eastAsia="Calibri" w:hAnsi="Times New Roman" w:cs="Times New Roman"/>
          <w:b/>
          <w:bCs/>
          <w:iCs/>
          <w:sz w:val="20"/>
          <w:szCs w:val="20"/>
        </w:rPr>
      </w:pPr>
    </w:p>
    <w:p w14:paraId="0475716E" w14:textId="47E5A8CA" w:rsidR="00D34467" w:rsidRPr="00062D31" w:rsidRDefault="00667B81" w:rsidP="007F1E72">
      <w:pPr>
        <w:spacing w:after="0" w:line="240" w:lineRule="auto"/>
        <w:jc w:val="both"/>
        <w:rPr>
          <w:rFonts w:ascii="Times New Roman" w:eastAsia="Calibri" w:hAnsi="Times New Roman" w:cs="Times New Roman"/>
          <w:b/>
          <w:bCs/>
          <w:iCs/>
          <w:sz w:val="20"/>
          <w:szCs w:val="20"/>
        </w:rPr>
      </w:pPr>
      <w:r w:rsidRPr="00316331">
        <w:rPr>
          <w:rFonts w:ascii="Times New Roman" w:eastAsia="Calibri" w:hAnsi="Times New Roman" w:cs="Times New Roman"/>
          <w:iCs/>
          <w:sz w:val="20"/>
          <w:szCs w:val="20"/>
        </w:rPr>
        <w:t xml:space="preserve">The </w:t>
      </w:r>
      <w:r w:rsidR="00A1694C">
        <w:rPr>
          <w:rFonts w:ascii="Times New Roman" w:eastAsia="Calibri" w:hAnsi="Times New Roman" w:cs="Times New Roman"/>
          <w:iCs/>
          <w:sz w:val="20"/>
          <w:szCs w:val="20"/>
        </w:rPr>
        <w:t xml:space="preserve">results of this </w:t>
      </w:r>
      <w:r w:rsidR="004320F8">
        <w:rPr>
          <w:rFonts w:ascii="Times New Roman" w:eastAsia="Calibri" w:hAnsi="Times New Roman" w:cs="Times New Roman"/>
          <w:iCs/>
          <w:sz w:val="20"/>
          <w:szCs w:val="20"/>
        </w:rPr>
        <w:t>10</w:t>
      </w:r>
      <w:r w:rsidR="00A1694C">
        <w:rPr>
          <w:rFonts w:ascii="Times New Roman" w:eastAsia="Calibri" w:hAnsi="Times New Roman" w:cs="Times New Roman"/>
          <w:iCs/>
          <w:sz w:val="20"/>
          <w:szCs w:val="20"/>
        </w:rPr>
        <w:t xml:space="preserve">-year naturalistic study suggest that patients have good persistence with </w:t>
      </w:r>
      <w:r w:rsidRPr="00696A70">
        <w:rPr>
          <w:rFonts w:ascii="Times New Roman" w:eastAsia="Calibri" w:hAnsi="Times New Roman" w:cs="Times New Roman"/>
          <w:iCs/>
          <w:sz w:val="20"/>
          <w:szCs w:val="20"/>
        </w:rPr>
        <w:t xml:space="preserve">PP1M </w:t>
      </w:r>
      <w:r w:rsidR="00A1694C" w:rsidRPr="007A3A2F">
        <w:rPr>
          <w:rFonts w:ascii="Times New Roman" w:eastAsia="Calibri" w:hAnsi="Times New Roman" w:cs="Times New Roman"/>
          <w:iCs/>
          <w:sz w:val="20"/>
          <w:szCs w:val="20"/>
        </w:rPr>
        <w:t>with almost half of all patients continuing with treatment at 5 years</w:t>
      </w:r>
      <w:r w:rsidR="00D34467" w:rsidRPr="00696A70">
        <w:rPr>
          <w:rFonts w:ascii="Times New Roman" w:eastAsia="Calibri" w:hAnsi="Times New Roman" w:cs="Times New Roman"/>
          <w:iCs/>
          <w:sz w:val="20"/>
          <w:szCs w:val="20"/>
        </w:rPr>
        <w:t xml:space="preserve">. </w:t>
      </w:r>
      <w:r w:rsidR="00A56C4E">
        <w:rPr>
          <w:rFonts w:ascii="Times New Roman" w:eastAsia="Calibri" w:hAnsi="Times New Roman" w:cs="Times New Roman"/>
          <w:iCs/>
          <w:sz w:val="20"/>
          <w:szCs w:val="20"/>
        </w:rPr>
        <w:t xml:space="preserve">Furthermore, </w:t>
      </w:r>
      <w:r w:rsidR="00A56C4E" w:rsidRPr="00A56C4E">
        <w:rPr>
          <w:rFonts w:ascii="Times New Roman" w:eastAsia="Calibri" w:hAnsi="Times New Roman" w:cs="Times New Roman"/>
          <w:iCs/>
          <w:sz w:val="20"/>
          <w:szCs w:val="20"/>
        </w:rPr>
        <w:t>bed usage</w:t>
      </w:r>
      <w:r w:rsidR="00990EFA">
        <w:rPr>
          <w:rFonts w:ascii="Times New Roman" w:eastAsia="Calibri" w:hAnsi="Times New Roman" w:cs="Times New Roman"/>
          <w:iCs/>
          <w:sz w:val="20"/>
          <w:szCs w:val="20"/>
        </w:rPr>
        <w:t xml:space="preserve"> was</w:t>
      </w:r>
      <w:r w:rsidR="00A56C4E" w:rsidRPr="00A56C4E">
        <w:rPr>
          <w:rFonts w:ascii="Times New Roman" w:eastAsia="Calibri" w:hAnsi="Times New Roman" w:cs="Times New Roman"/>
          <w:iCs/>
          <w:sz w:val="20"/>
          <w:szCs w:val="20"/>
        </w:rPr>
        <w:t xml:space="preserve"> reduced by two thirds compared to the </w:t>
      </w:r>
      <w:r w:rsidR="00990EFA">
        <w:rPr>
          <w:rFonts w:ascii="Times New Roman" w:eastAsia="Calibri" w:hAnsi="Times New Roman" w:cs="Times New Roman"/>
          <w:iCs/>
          <w:sz w:val="20"/>
          <w:szCs w:val="20"/>
        </w:rPr>
        <w:t xml:space="preserve">5 </w:t>
      </w:r>
      <w:r w:rsidR="0089336D">
        <w:rPr>
          <w:rFonts w:ascii="Times New Roman" w:eastAsia="Calibri" w:hAnsi="Times New Roman" w:cs="Times New Roman"/>
          <w:iCs/>
          <w:sz w:val="20"/>
          <w:szCs w:val="20"/>
        </w:rPr>
        <w:t xml:space="preserve">years before drug initiation </w:t>
      </w:r>
      <w:r w:rsidR="00E21A8E" w:rsidRPr="00696A70">
        <w:rPr>
          <w:rFonts w:ascii="Times New Roman" w:eastAsia="Calibri" w:hAnsi="Times New Roman" w:cs="Times New Roman"/>
          <w:bCs/>
          <w:iCs/>
          <w:sz w:val="20"/>
          <w:szCs w:val="20"/>
        </w:rPr>
        <w:t>among continuers</w:t>
      </w:r>
      <w:r w:rsidR="00D34467" w:rsidRPr="00696A70">
        <w:rPr>
          <w:rFonts w:ascii="Times New Roman" w:eastAsia="Calibri" w:hAnsi="Times New Roman" w:cs="Times New Roman"/>
          <w:bCs/>
          <w:iCs/>
          <w:sz w:val="20"/>
          <w:szCs w:val="20"/>
        </w:rPr>
        <w:t>.</w:t>
      </w:r>
      <w:r w:rsidR="00E21A8E" w:rsidRPr="00696A70">
        <w:rPr>
          <w:rFonts w:ascii="Times New Roman" w:eastAsia="Calibri" w:hAnsi="Times New Roman" w:cs="Times New Roman"/>
          <w:bCs/>
          <w:iCs/>
          <w:sz w:val="20"/>
          <w:szCs w:val="20"/>
        </w:rPr>
        <w:t xml:space="preserve"> This was not the case for discontinuers who </w:t>
      </w:r>
      <w:r w:rsidR="00990EFA">
        <w:rPr>
          <w:rFonts w:ascii="Times New Roman" w:eastAsia="Calibri" w:hAnsi="Times New Roman" w:cs="Times New Roman"/>
          <w:bCs/>
          <w:iCs/>
          <w:sz w:val="20"/>
          <w:szCs w:val="20"/>
        </w:rPr>
        <w:t>showed</w:t>
      </w:r>
      <w:r w:rsidR="00990EFA" w:rsidRPr="00696A70">
        <w:rPr>
          <w:rFonts w:ascii="Times New Roman" w:eastAsia="Calibri" w:hAnsi="Times New Roman" w:cs="Times New Roman"/>
          <w:bCs/>
          <w:iCs/>
          <w:sz w:val="20"/>
          <w:szCs w:val="20"/>
        </w:rPr>
        <w:t xml:space="preserve"> </w:t>
      </w:r>
      <w:r w:rsidR="00990EFA">
        <w:rPr>
          <w:rFonts w:ascii="Times New Roman" w:eastAsia="Calibri" w:hAnsi="Times New Roman" w:cs="Times New Roman"/>
          <w:bCs/>
          <w:iCs/>
          <w:sz w:val="20"/>
          <w:szCs w:val="20"/>
        </w:rPr>
        <w:t>higher</w:t>
      </w:r>
      <w:r w:rsidR="00990EFA" w:rsidRPr="00696A70">
        <w:rPr>
          <w:rFonts w:ascii="Times New Roman" w:eastAsia="Calibri" w:hAnsi="Times New Roman" w:cs="Times New Roman"/>
          <w:bCs/>
          <w:iCs/>
          <w:sz w:val="20"/>
          <w:szCs w:val="20"/>
        </w:rPr>
        <w:t xml:space="preserve"> </w:t>
      </w:r>
      <w:r w:rsidR="00E21A8E" w:rsidRPr="00696A70">
        <w:rPr>
          <w:rFonts w:ascii="Times New Roman" w:eastAsia="Calibri" w:hAnsi="Times New Roman" w:cs="Times New Roman"/>
          <w:bCs/>
          <w:iCs/>
          <w:sz w:val="20"/>
          <w:szCs w:val="20"/>
        </w:rPr>
        <w:t>hospitalisation rates.</w:t>
      </w:r>
      <w:r w:rsidR="00062D31">
        <w:rPr>
          <w:rFonts w:ascii="Times New Roman" w:eastAsia="Calibri" w:hAnsi="Times New Roman" w:cs="Times New Roman"/>
          <w:bCs/>
          <w:iCs/>
          <w:sz w:val="20"/>
          <w:szCs w:val="20"/>
        </w:rPr>
        <w:t xml:space="preserve"> Findings may facilitate the collaborative process and help overcome common barrier</w:t>
      </w:r>
      <w:r w:rsidR="00990EFA">
        <w:rPr>
          <w:rFonts w:ascii="Times New Roman" w:eastAsia="Calibri" w:hAnsi="Times New Roman" w:cs="Times New Roman"/>
          <w:bCs/>
          <w:iCs/>
          <w:sz w:val="20"/>
          <w:szCs w:val="20"/>
        </w:rPr>
        <w:t>s</w:t>
      </w:r>
      <w:r w:rsidR="00C63642">
        <w:t xml:space="preserve">, such as negative perceptions and stigma </w:t>
      </w:r>
      <w:r w:rsidR="00C63642" w:rsidDel="00C63642">
        <w:rPr>
          <w:rStyle w:val="CommentReference"/>
        </w:rPr>
        <w:t xml:space="preserve"> </w:t>
      </w:r>
      <w:r w:rsidR="00062D31">
        <w:rPr>
          <w:rFonts w:ascii="Times New Roman" w:eastAsia="Calibri" w:hAnsi="Times New Roman" w:cs="Times New Roman"/>
          <w:bCs/>
          <w:iCs/>
          <w:sz w:val="20"/>
          <w:szCs w:val="20"/>
        </w:rPr>
        <w:t xml:space="preserve">in the use of long-acting antipsychotic treatments. </w:t>
      </w:r>
    </w:p>
    <w:p w14:paraId="2D897A72" w14:textId="77777777" w:rsidR="00667B81" w:rsidRPr="00696A70" w:rsidRDefault="00667B81" w:rsidP="007F1E72">
      <w:pPr>
        <w:spacing w:after="0" w:line="240" w:lineRule="auto"/>
        <w:jc w:val="both"/>
        <w:rPr>
          <w:rFonts w:ascii="Times New Roman" w:eastAsia="Calibri" w:hAnsi="Times New Roman" w:cs="Times New Roman"/>
          <w:iCs/>
          <w:sz w:val="20"/>
          <w:szCs w:val="20"/>
        </w:rPr>
      </w:pPr>
    </w:p>
    <w:p w14:paraId="18360C37" w14:textId="31E4F5E6" w:rsidR="00373D8C" w:rsidRPr="00696A70" w:rsidRDefault="00373D8C" w:rsidP="007F1E72">
      <w:pPr>
        <w:spacing w:after="0" w:line="240" w:lineRule="auto"/>
        <w:jc w:val="both"/>
        <w:rPr>
          <w:rFonts w:ascii="Times New Roman" w:eastAsia="Calibri" w:hAnsi="Times New Roman" w:cs="Times New Roman"/>
          <w:b/>
          <w:bCs/>
          <w:iCs/>
          <w:sz w:val="20"/>
          <w:szCs w:val="20"/>
        </w:rPr>
      </w:pPr>
    </w:p>
    <w:p w14:paraId="6E46AFD2" w14:textId="77777777" w:rsidR="00DA1947" w:rsidRPr="00AA5B69" w:rsidRDefault="00DA1947" w:rsidP="00DA1947">
      <w:pPr>
        <w:pStyle w:val="Heading1"/>
        <w:rPr>
          <w:rFonts w:ascii="Times New Roman" w:eastAsia="Calibri" w:hAnsi="Times New Roman" w:cs="Times New Roman"/>
          <w:sz w:val="24"/>
          <w:szCs w:val="24"/>
        </w:rPr>
      </w:pPr>
      <w:r w:rsidRPr="00AA5B69">
        <w:rPr>
          <w:rFonts w:ascii="Times New Roman" w:eastAsia="Calibri" w:hAnsi="Times New Roman" w:cs="Times New Roman"/>
          <w:sz w:val="24"/>
          <w:szCs w:val="24"/>
        </w:rPr>
        <w:t>7.0 Declarations</w:t>
      </w:r>
    </w:p>
    <w:p w14:paraId="28D3FE02" w14:textId="77777777" w:rsidR="00DA1947" w:rsidRPr="00696A70" w:rsidRDefault="00DA1947" w:rsidP="00DA1947">
      <w:pPr>
        <w:spacing w:after="0" w:line="240" w:lineRule="auto"/>
        <w:jc w:val="both"/>
        <w:rPr>
          <w:rFonts w:ascii="Times New Roman" w:eastAsia="Calibri" w:hAnsi="Times New Roman" w:cs="Times New Roman"/>
          <w:b/>
          <w:bCs/>
          <w:iCs/>
          <w:sz w:val="20"/>
          <w:szCs w:val="20"/>
        </w:rPr>
      </w:pPr>
    </w:p>
    <w:p w14:paraId="67C449CC" w14:textId="77777777" w:rsidR="00DA1947" w:rsidRPr="00696A70" w:rsidRDefault="00DA1947" w:rsidP="00DA1947">
      <w:pPr>
        <w:spacing w:after="0" w:line="240" w:lineRule="auto"/>
        <w:jc w:val="both"/>
        <w:rPr>
          <w:rFonts w:ascii="Times New Roman" w:eastAsia="Calibri" w:hAnsi="Times New Roman" w:cs="Times New Roman"/>
          <w:b/>
          <w:bCs/>
          <w:iCs/>
          <w:sz w:val="20"/>
          <w:szCs w:val="20"/>
        </w:rPr>
      </w:pPr>
      <w:r w:rsidRPr="00696A70">
        <w:rPr>
          <w:rFonts w:ascii="Times New Roman" w:eastAsia="Calibri" w:hAnsi="Times New Roman" w:cs="Times New Roman"/>
          <w:b/>
          <w:bCs/>
          <w:iCs/>
          <w:sz w:val="20"/>
          <w:szCs w:val="20"/>
        </w:rPr>
        <w:t>Author contribution</w:t>
      </w:r>
    </w:p>
    <w:p w14:paraId="7050045A" w14:textId="0C7EDE64" w:rsidR="00DA1947" w:rsidRPr="00696A70" w:rsidRDefault="00DA1947" w:rsidP="00DA1947">
      <w:pPr>
        <w:spacing w:after="0" w:line="240" w:lineRule="auto"/>
        <w:jc w:val="both"/>
        <w:rPr>
          <w:rFonts w:ascii="Times New Roman" w:eastAsia="Calibri" w:hAnsi="Times New Roman" w:cs="Times New Roman"/>
          <w:iCs/>
          <w:sz w:val="20"/>
          <w:szCs w:val="20"/>
        </w:rPr>
      </w:pPr>
      <w:r w:rsidRPr="00696A70">
        <w:rPr>
          <w:rFonts w:ascii="Times New Roman" w:eastAsia="Calibri" w:hAnsi="Times New Roman" w:cs="Times New Roman"/>
          <w:iCs/>
          <w:sz w:val="20"/>
          <w:szCs w:val="20"/>
        </w:rPr>
        <w:t xml:space="preserve">SP was responsible for the study concept and design. SP, JB and KM were responsible for data extraction and statistical analysis. SP, JB and KM were responsible for drafting the manuscript. All authors were responsible for critical revision of the manuscript and have </w:t>
      </w:r>
      <w:r w:rsidRPr="00696A70">
        <w:rPr>
          <w:rFonts w:ascii="Times New Roman" w:hAnsi="Times New Roman" w:cs="Times New Roman"/>
          <w:color w:val="323130"/>
          <w:sz w:val="20"/>
          <w:szCs w:val="20"/>
          <w:shd w:val="clear" w:color="auto" w:fill="FFFFFF"/>
        </w:rPr>
        <w:t>read and approved the final submitted manuscript, and agree to be accountable for the work.</w:t>
      </w:r>
    </w:p>
    <w:p w14:paraId="48C3EA74" w14:textId="77777777" w:rsidR="00DA1947" w:rsidRPr="00696A70" w:rsidRDefault="00DA1947" w:rsidP="00DA1947">
      <w:pPr>
        <w:spacing w:after="0" w:line="240" w:lineRule="auto"/>
        <w:jc w:val="both"/>
        <w:rPr>
          <w:rFonts w:ascii="Times New Roman" w:eastAsia="Calibri" w:hAnsi="Times New Roman" w:cs="Times New Roman"/>
          <w:iCs/>
          <w:sz w:val="20"/>
          <w:szCs w:val="20"/>
        </w:rPr>
      </w:pPr>
    </w:p>
    <w:p w14:paraId="1F06446D" w14:textId="77777777" w:rsidR="00DA1947" w:rsidRPr="00696A70" w:rsidRDefault="00DA1947" w:rsidP="00DA1947">
      <w:pPr>
        <w:spacing w:after="0" w:line="240" w:lineRule="auto"/>
        <w:jc w:val="both"/>
        <w:rPr>
          <w:rFonts w:ascii="Times New Roman" w:eastAsia="Calibri" w:hAnsi="Times New Roman" w:cs="Times New Roman"/>
          <w:b/>
          <w:bCs/>
          <w:iCs/>
          <w:sz w:val="20"/>
          <w:szCs w:val="20"/>
        </w:rPr>
      </w:pPr>
      <w:r w:rsidRPr="00696A70">
        <w:rPr>
          <w:rFonts w:ascii="Times New Roman" w:eastAsia="Calibri" w:hAnsi="Times New Roman" w:cs="Times New Roman"/>
          <w:b/>
          <w:bCs/>
          <w:iCs/>
          <w:sz w:val="20"/>
          <w:szCs w:val="20"/>
        </w:rPr>
        <w:t>Conflicts of interest</w:t>
      </w:r>
    </w:p>
    <w:p w14:paraId="4E7BCCBC" w14:textId="7A2659D9" w:rsidR="00DA1947" w:rsidRPr="00696A70" w:rsidRDefault="00DA1947" w:rsidP="00DA1947">
      <w:pPr>
        <w:spacing w:line="240" w:lineRule="auto"/>
        <w:jc w:val="both"/>
        <w:rPr>
          <w:rFonts w:ascii="Times New Roman" w:eastAsia="Calibri" w:hAnsi="Times New Roman" w:cs="Times New Roman"/>
          <w:iCs/>
          <w:sz w:val="20"/>
          <w:szCs w:val="20"/>
        </w:rPr>
      </w:pPr>
      <w:r w:rsidRPr="00696A70">
        <w:rPr>
          <w:rFonts w:ascii="Times New Roman" w:eastAsia="Calibri" w:hAnsi="Times New Roman" w:cs="Times New Roman"/>
          <w:iCs/>
          <w:sz w:val="20"/>
          <w:szCs w:val="20"/>
        </w:rPr>
        <w:t>SP has received honoraria as a consultant or speaker from Janssen, Recordati, Sunovion and CNX Therapeutics and an investigator-led research grant from Recordati. JB and KM have nothing to declare.</w:t>
      </w:r>
    </w:p>
    <w:p w14:paraId="473C7AF1" w14:textId="6CD731C7" w:rsidR="00DA1947" w:rsidRPr="00696A70" w:rsidRDefault="00DA1947" w:rsidP="00DA1947">
      <w:pPr>
        <w:spacing w:after="0" w:line="240" w:lineRule="auto"/>
        <w:jc w:val="both"/>
        <w:rPr>
          <w:rFonts w:ascii="Times New Roman" w:eastAsia="Calibri" w:hAnsi="Times New Roman" w:cs="Times New Roman"/>
          <w:b/>
          <w:bCs/>
          <w:iCs/>
          <w:sz w:val="20"/>
          <w:szCs w:val="20"/>
        </w:rPr>
      </w:pPr>
      <w:r w:rsidRPr="00696A70">
        <w:rPr>
          <w:rFonts w:ascii="Times New Roman" w:eastAsia="Calibri" w:hAnsi="Times New Roman" w:cs="Times New Roman"/>
          <w:b/>
          <w:bCs/>
          <w:iCs/>
          <w:sz w:val="20"/>
          <w:szCs w:val="20"/>
        </w:rPr>
        <w:t>Funding</w:t>
      </w:r>
    </w:p>
    <w:p w14:paraId="76453F7F" w14:textId="77777777" w:rsidR="00DA1947" w:rsidRPr="00696A70" w:rsidRDefault="00DA1947" w:rsidP="00DA1947">
      <w:pPr>
        <w:spacing w:after="0" w:line="240" w:lineRule="auto"/>
        <w:jc w:val="both"/>
        <w:rPr>
          <w:rFonts w:ascii="Times New Roman" w:eastAsia="Calibri" w:hAnsi="Times New Roman" w:cs="Times New Roman"/>
          <w:iCs/>
          <w:sz w:val="20"/>
          <w:szCs w:val="20"/>
        </w:rPr>
      </w:pPr>
      <w:r w:rsidRPr="00696A70">
        <w:rPr>
          <w:rFonts w:ascii="Times New Roman" w:eastAsia="Calibri" w:hAnsi="Times New Roman" w:cs="Times New Roman"/>
          <w:iCs/>
          <w:sz w:val="20"/>
          <w:szCs w:val="20"/>
        </w:rPr>
        <w:t>The authors received no financial support for the research, authorship, and/or publication of this article.</w:t>
      </w:r>
    </w:p>
    <w:p w14:paraId="13778FE0" w14:textId="77777777" w:rsidR="001369D2" w:rsidRPr="00696A70" w:rsidRDefault="001369D2" w:rsidP="00DA1947">
      <w:pPr>
        <w:spacing w:after="160" w:line="259" w:lineRule="auto"/>
        <w:jc w:val="both"/>
        <w:rPr>
          <w:rFonts w:ascii="Times New Roman" w:eastAsia="Calibri" w:hAnsi="Times New Roman" w:cs="Times New Roman"/>
          <w:iCs/>
          <w:sz w:val="20"/>
          <w:szCs w:val="20"/>
        </w:rPr>
      </w:pPr>
    </w:p>
    <w:p w14:paraId="40F62F88" w14:textId="4AE377CB" w:rsidR="00DA1947" w:rsidRPr="00696A70" w:rsidRDefault="00DA1947" w:rsidP="00DA1947">
      <w:pPr>
        <w:spacing w:after="160" w:line="259" w:lineRule="auto"/>
        <w:jc w:val="both"/>
        <w:rPr>
          <w:rFonts w:ascii="Times New Roman" w:eastAsia="Calibri" w:hAnsi="Times New Roman" w:cs="Times New Roman"/>
          <w:iCs/>
          <w:sz w:val="20"/>
          <w:szCs w:val="20"/>
        </w:rPr>
      </w:pPr>
      <w:r w:rsidRPr="00696A70">
        <w:rPr>
          <w:rFonts w:ascii="Times New Roman" w:eastAsia="Calibri" w:hAnsi="Times New Roman" w:cs="Times New Roman"/>
          <w:b/>
          <w:iCs/>
          <w:sz w:val="20"/>
          <w:szCs w:val="20"/>
        </w:rPr>
        <w:t>Ethics Approval</w:t>
      </w:r>
      <w:r w:rsidRPr="00696A70">
        <w:rPr>
          <w:rFonts w:ascii="Times New Roman" w:eastAsia="Calibri" w:hAnsi="Times New Roman" w:cs="Times New Roman"/>
          <w:iCs/>
          <w:sz w:val="20"/>
          <w:szCs w:val="20"/>
        </w:rPr>
        <w:t>: Approval was obtained by the department for audit and naturalistic research (project number 1295), West London NHS Trust, UK</w:t>
      </w:r>
    </w:p>
    <w:p w14:paraId="3F8A3C6A" w14:textId="77777777" w:rsidR="00DA1947" w:rsidRPr="00696A70" w:rsidRDefault="00DA1947" w:rsidP="00DA1947">
      <w:pPr>
        <w:spacing w:after="160" w:line="259" w:lineRule="auto"/>
        <w:jc w:val="both"/>
        <w:rPr>
          <w:rFonts w:ascii="Times New Roman" w:eastAsia="Calibri" w:hAnsi="Times New Roman" w:cs="Times New Roman"/>
          <w:iCs/>
          <w:sz w:val="20"/>
          <w:szCs w:val="20"/>
        </w:rPr>
      </w:pPr>
      <w:r w:rsidRPr="00696A70">
        <w:rPr>
          <w:rFonts w:ascii="Times New Roman" w:eastAsia="Calibri" w:hAnsi="Times New Roman" w:cs="Times New Roman"/>
          <w:b/>
          <w:iCs/>
          <w:sz w:val="20"/>
          <w:szCs w:val="20"/>
        </w:rPr>
        <w:t>Consent to Participate</w:t>
      </w:r>
      <w:r w:rsidRPr="00696A70">
        <w:rPr>
          <w:rFonts w:ascii="Times New Roman" w:eastAsia="Calibri" w:hAnsi="Times New Roman" w:cs="Times New Roman"/>
          <w:iCs/>
          <w:sz w:val="20"/>
          <w:szCs w:val="20"/>
        </w:rPr>
        <w:t>: All identifiable personal information was removed for privacy protection, thus the requirement for informed consent was waived.</w:t>
      </w:r>
    </w:p>
    <w:p w14:paraId="353C7757" w14:textId="77777777" w:rsidR="00DA1947" w:rsidRPr="00696A70" w:rsidRDefault="00DA1947" w:rsidP="00DA1947">
      <w:pPr>
        <w:spacing w:after="160" w:line="259" w:lineRule="auto"/>
        <w:jc w:val="both"/>
        <w:rPr>
          <w:rFonts w:ascii="Times New Roman" w:eastAsia="Calibri" w:hAnsi="Times New Roman" w:cs="Times New Roman"/>
          <w:iCs/>
          <w:sz w:val="20"/>
          <w:szCs w:val="20"/>
        </w:rPr>
      </w:pPr>
      <w:r w:rsidRPr="00696A70">
        <w:rPr>
          <w:rFonts w:ascii="Times New Roman" w:eastAsia="Calibri" w:hAnsi="Times New Roman" w:cs="Times New Roman"/>
          <w:b/>
          <w:iCs/>
          <w:sz w:val="20"/>
          <w:szCs w:val="20"/>
        </w:rPr>
        <w:t>Consent to publication</w:t>
      </w:r>
      <w:r w:rsidRPr="00696A70">
        <w:rPr>
          <w:rFonts w:ascii="Times New Roman" w:eastAsia="Calibri" w:hAnsi="Times New Roman" w:cs="Times New Roman"/>
          <w:iCs/>
          <w:sz w:val="20"/>
          <w:szCs w:val="20"/>
        </w:rPr>
        <w:t>: Not applicable</w:t>
      </w:r>
    </w:p>
    <w:p w14:paraId="08863E3A" w14:textId="77777777" w:rsidR="007A0E8E" w:rsidRPr="00696A70" w:rsidRDefault="00DA1947" w:rsidP="00DA1947">
      <w:pPr>
        <w:spacing w:after="160" w:line="259" w:lineRule="auto"/>
        <w:jc w:val="both"/>
        <w:rPr>
          <w:rFonts w:ascii="Times New Roman" w:eastAsia="Calibri" w:hAnsi="Times New Roman" w:cs="Times New Roman"/>
          <w:iCs/>
          <w:sz w:val="20"/>
          <w:szCs w:val="20"/>
        </w:rPr>
      </w:pPr>
      <w:r w:rsidRPr="00696A70">
        <w:rPr>
          <w:rFonts w:ascii="Times New Roman" w:eastAsia="Calibri" w:hAnsi="Times New Roman" w:cs="Times New Roman"/>
          <w:b/>
          <w:iCs/>
          <w:sz w:val="20"/>
          <w:szCs w:val="20"/>
        </w:rPr>
        <w:t>Data availability</w:t>
      </w:r>
      <w:r w:rsidRPr="00696A70">
        <w:rPr>
          <w:rFonts w:ascii="Times New Roman" w:eastAsia="Calibri" w:hAnsi="Times New Roman" w:cs="Times New Roman"/>
          <w:iCs/>
          <w:sz w:val="20"/>
          <w:szCs w:val="20"/>
        </w:rPr>
        <w:t xml:space="preserve">: Data is available on contact with the authors but is not published in any publically available data set. </w:t>
      </w:r>
    </w:p>
    <w:p w14:paraId="211E988A" w14:textId="2C51CA87" w:rsidR="00373D8C" w:rsidRDefault="007A0E8E" w:rsidP="00DA1947">
      <w:pPr>
        <w:spacing w:after="160" w:line="259" w:lineRule="auto"/>
        <w:jc w:val="both"/>
        <w:rPr>
          <w:rFonts w:ascii="Times New Roman" w:eastAsia="Calibri" w:hAnsi="Times New Roman" w:cs="Times New Roman"/>
          <w:iCs/>
          <w:sz w:val="20"/>
          <w:szCs w:val="20"/>
        </w:rPr>
      </w:pPr>
      <w:r w:rsidRPr="00696A70">
        <w:rPr>
          <w:rFonts w:ascii="Times New Roman" w:eastAsia="Calibri" w:hAnsi="Times New Roman" w:cs="Times New Roman"/>
          <w:b/>
          <w:iCs/>
          <w:sz w:val="20"/>
          <w:szCs w:val="20"/>
        </w:rPr>
        <w:t>Code availability</w:t>
      </w:r>
      <w:r w:rsidRPr="00696A70">
        <w:rPr>
          <w:rFonts w:ascii="Times New Roman" w:eastAsia="Calibri" w:hAnsi="Times New Roman" w:cs="Times New Roman"/>
          <w:iCs/>
          <w:sz w:val="20"/>
          <w:szCs w:val="20"/>
        </w:rPr>
        <w:t>: not applicable</w:t>
      </w:r>
    </w:p>
    <w:p w14:paraId="1B787CF3" w14:textId="029766A9" w:rsidR="00373D8C" w:rsidRDefault="00373D8C" w:rsidP="00DA1947">
      <w:pPr>
        <w:spacing w:after="160" w:line="259" w:lineRule="auto"/>
        <w:jc w:val="both"/>
        <w:rPr>
          <w:rFonts w:ascii="Times New Roman" w:eastAsia="Calibri" w:hAnsi="Times New Roman" w:cs="Times New Roman"/>
          <w:iCs/>
          <w:sz w:val="20"/>
          <w:szCs w:val="20"/>
        </w:rPr>
      </w:pPr>
    </w:p>
    <w:p w14:paraId="054A07FD" w14:textId="320B0EB3" w:rsidR="00373D8C" w:rsidRDefault="00373D8C" w:rsidP="00DA1947">
      <w:pPr>
        <w:spacing w:after="160" w:line="259" w:lineRule="auto"/>
        <w:jc w:val="both"/>
        <w:rPr>
          <w:rFonts w:ascii="Times New Roman" w:eastAsia="Calibri" w:hAnsi="Times New Roman" w:cs="Times New Roman"/>
          <w:iCs/>
          <w:sz w:val="20"/>
          <w:szCs w:val="20"/>
        </w:rPr>
      </w:pPr>
    </w:p>
    <w:p w14:paraId="6D3FA891" w14:textId="673E50C9" w:rsidR="00373D8C" w:rsidRDefault="00373D8C" w:rsidP="00DA1947">
      <w:pPr>
        <w:spacing w:after="160" w:line="259" w:lineRule="auto"/>
        <w:jc w:val="both"/>
        <w:rPr>
          <w:rFonts w:ascii="Times New Roman" w:eastAsia="Calibri" w:hAnsi="Times New Roman" w:cs="Times New Roman"/>
          <w:iCs/>
          <w:sz w:val="20"/>
          <w:szCs w:val="20"/>
        </w:rPr>
      </w:pPr>
    </w:p>
    <w:p w14:paraId="5CAE2362" w14:textId="3C4BDF39" w:rsidR="00373D8C" w:rsidRDefault="00373D8C" w:rsidP="00DA1947">
      <w:pPr>
        <w:spacing w:after="160" w:line="259" w:lineRule="auto"/>
        <w:jc w:val="both"/>
        <w:rPr>
          <w:rFonts w:ascii="Times New Roman" w:eastAsia="Calibri" w:hAnsi="Times New Roman" w:cs="Times New Roman"/>
          <w:iCs/>
          <w:sz w:val="20"/>
          <w:szCs w:val="20"/>
        </w:rPr>
      </w:pPr>
    </w:p>
    <w:p w14:paraId="713061C3" w14:textId="417059A1" w:rsidR="00F2629E" w:rsidRPr="0089336D" w:rsidRDefault="00F2629E" w:rsidP="0089336D"/>
    <w:p w14:paraId="09970702" w14:textId="6E78F2B1" w:rsidR="007D2BC0" w:rsidRPr="00AA5B69" w:rsidRDefault="00FA3C75" w:rsidP="00734987">
      <w:pPr>
        <w:pStyle w:val="Heading1"/>
        <w:rPr>
          <w:rFonts w:ascii="Times New Roman" w:hAnsi="Times New Roman" w:cs="Times New Roman"/>
          <w:sz w:val="24"/>
          <w:szCs w:val="24"/>
        </w:rPr>
      </w:pPr>
      <w:bookmarkStart w:id="2" w:name="_GoBack"/>
      <w:r w:rsidRPr="00AA5B69">
        <w:rPr>
          <w:rFonts w:ascii="Times New Roman" w:hAnsi="Times New Roman" w:cs="Times New Roman"/>
          <w:sz w:val="24"/>
          <w:szCs w:val="24"/>
        </w:rPr>
        <w:lastRenderedPageBreak/>
        <w:t xml:space="preserve">8.0 </w:t>
      </w:r>
      <w:r w:rsidRPr="00AA5B69">
        <w:rPr>
          <w:rFonts w:ascii="Times New Roman" w:hAnsi="Times New Roman" w:cs="Times New Roman"/>
          <w:sz w:val="24"/>
          <w:szCs w:val="24"/>
        </w:rPr>
        <w:tab/>
      </w:r>
      <w:r w:rsidR="00825EE3" w:rsidRPr="00AA5B69">
        <w:rPr>
          <w:rFonts w:ascii="Times New Roman" w:hAnsi="Times New Roman" w:cs="Times New Roman"/>
          <w:sz w:val="24"/>
          <w:szCs w:val="24"/>
        </w:rPr>
        <w:t>References</w:t>
      </w:r>
    </w:p>
    <w:bookmarkEnd w:id="2"/>
    <w:p w14:paraId="01F47F11" w14:textId="76694B1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James S</w:t>
      </w:r>
      <w:r w:rsidR="005C42D2">
        <w:rPr>
          <w:rFonts w:ascii="Times New Roman" w:hAnsi="Times New Roman" w:cs="Times New Roman"/>
          <w:color w:val="000000" w:themeColor="text1"/>
          <w:sz w:val="20"/>
          <w:szCs w:val="20"/>
        </w:rPr>
        <w:t>L</w:t>
      </w:r>
      <w:r w:rsidRPr="0089336D">
        <w:rPr>
          <w:rFonts w:ascii="Times New Roman" w:hAnsi="Times New Roman" w:cs="Times New Roman"/>
          <w:color w:val="000000" w:themeColor="text1"/>
          <w:sz w:val="20"/>
          <w:szCs w:val="20"/>
        </w:rPr>
        <w:t xml:space="preserve">. </w:t>
      </w:r>
      <w:r w:rsidRPr="0089336D">
        <w:rPr>
          <w:rFonts w:ascii="Times New Roman" w:eastAsia="Times New Roman" w:hAnsi="Times New Roman" w:cs="Times New Roman"/>
          <w:color w:val="000000" w:themeColor="text1"/>
          <w:sz w:val="20"/>
          <w:szCs w:val="20"/>
          <w:lang w:eastAsia="en-GB"/>
        </w:rPr>
        <w:t xml:space="preserve">Global, regional, and national incidence, prevalence, and years lived with disability for 354 diseases and injuries for 195 countries and territories, 1990–2017: a systematic analysis for the Global Burden of Disease Study 2017. The Lancet. 2018; </w:t>
      </w:r>
      <w:hyperlink r:id="rId10" w:history="1">
        <w:r w:rsidRPr="0089336D">
          <w:rPr>
            <w:rStyle w:val="Hyperlink"/>
            <w:rFonts w:ascii="Times New Roman" w:hAnsi="Times New Roman" w:cs="Times New Roman"/>
            <w:color w:val="000000" w:themeColor="text1"/>
            <w:sz w:val="20"/>
            <w:szCs w:val="20"/>
            <w:u w:val="none"/>
          </w:rPr>
          <w:t>https://doi.org/10.1016/S0140-6736(18)32279-7</w:t>
        </w:r>
      </w:hyperlink>
    </w:p>
    <w:p w14:paraId="5FE2DB23" w14:textId="77777777" w:rsidR="006740DC" w:rsidRPr="0089336D" w:rsidRDefault="006740DC"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303030"/>
          <w:sz w:val="20"/>
          <w:szCs w:val="20"/>
          <w:shd w:val="clear" w:color="auto" w:fill="FFFFFF"/>
        </w:rPr>
        <w:t>Immonen J, Jääskeläinen E, Korpela H, Miettunen J. Age at onset and the outcomes of schizophrenia: A systematic review and meta-analysis. </w:t>
      </w:r>
      <w:r w:rsidRPr="0089336D">
        <w:rPr>
          <w:rFonts w:ascii="Times New Roman" w:hAnsi="Times New Roman" w:cs="Times New Roman"/>
          <w:iCs/>
          <w:color w:val="303030"/>
          <w:sz w:val="20"/>
          <w:szCs w:val="20"/>
          <w:shd w:val="clear" w:color="auto" w:fill="FFFFFF"/>
        </w:rPr>
        <w:t>Early Interv Psychiatry</w:t>
      </w:r>
      <w:r w:rsidRPr="0089336D">
        <w:rPr>
          <w:rFonts w:ascii="Times New Roman" w:hAnsi="Times New Roman" w:cs="Times New Roman"/>
          <w:color w:val="303030"/>
          <w:sz w:val="20"/>
          <w:szCs w:val="20"/>
          <w:shd w:val="clear" w:color="auto" w:fill="FFFFFF"/>
        </w:rPr>
        <w:t>. 2017;11(6):453-460. doi:10.1111/eip.12412</w:t>
      </w:r>
    </w:p>
    <w:p w14:paraId="4D020DEB" w14:textId="3E421DAE" w:rsidR="006740DC" w:rsidRPr="0089336D" w:rsidRDefault="006740DC"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hAnsi="Times New Roman" w:cs="Times New Roman"/>
          <w:color w:val="303030"/>
          <w:sz w:val="20"/>
          <w:szCs w:val="20"/>
          <w:shd w:val="clear" w:color="auto" w:fill="FFFFFF"/>
        </w:rPr>
        <w:t>Chong HY, Teoh SL, Wu DB, Kotirum S, Chiou CF, Chaiyakunapruk N. Global economic burden of schizophrenia: a systematic review. </w:t>
      </w:r>
      <w:r w:rsidRPr="0089336D">
        <w:rPr>
          <w:rFonts w:ascii="Times New Roman" w:hAnsi="Times New Roman" w:cs="Times New Roman"/>
          <w:iCs/>
          <w:color w:val="303030"/>
          <w:sz w:val="20"/>
          <w:szCs w:val="20"/>
          <w:shd w:val="clear" w:color="auto" w:fill="FFFFFF"/>
        </w:rPr>
        <w:t>Neuropsychiatr Dis Treat</w:t>
      </w:r>
      <w:r w:rsidRPr="0089336D">
        <w:rPr>
          <w:rFonts w:ascii="Times New Roman" w:hAnsi="Times New Roman" w:cs="Times New Roman"/>
          <w:color w:val="303030"/>
          <w:sz w:val="20"/>
          <w:szCs w:val="20"/>
          <w:shd w:val="clear" w:color="auto" w:fill="FFFFFF"/>
        </w:rPr>
        <w:t>. 2016;12:357-373. Published 2016 Feb 16. doi:10.2147/NDT.S96649</w:t>
      </w:r>
    </w:p>
    <w:p w14:paraId="628B1323" w14:textId="58D357B6" w:rsidR="006740DC" w:rsidRPr="0089336D" w:rsidRDefault="006740DC"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hAnsi="Times New Roman" w:cs="Times New Roman"/>
          <w:color w:val="303030"/>
          <w:sz w:val="20"/>
          <w:szCs w:val="20"/>
          <w:shd w:val="clear" w:color="auto" w:fill="FFFFFF"/>
        </w:rPr>
        <w:t>Ride J, Kasteridis P, Gutacker N, Aragon MJ, Jacobs R. Healthcare Costs for People with Serious Mental Illness in England: An Analysis of Costs Across Primary Care, Hospital Care, and Specialist Mental Healthcare. </w:t>
      </w:r>
      <w:r w:rsidRPr="0089336D">
        <w:rPr>
          <w:rFonts w:ascii="Times New Roman" w:hAnsi="Times New Roman" w:cs="Times New Roman"/>
          <w:iCs/>
          <w:color w:val="303030"/>
          <w:sz w:val="20"/>
          <w:szCs w:val="20"/>
          <w:shd w:val="clear" w:color="auto" w:fill="FFFFFF"/>
        </w:rPr>
        <w:t>Appl Health Econ Health Policy</w:t>
      </w:r>
      <w:r w:rsidRPr="0089336D">
        <w:rPr>
          <w:rFonts w:ascii="Times New Roman" w:hAnsi="Times New Roman" w:cs="Times New Roman"/>
          <w:color w:val="303030"/>
          <w:sz w:val="20"/>
          <w:szCs w:val="20"/>
          <w:shd w:val="clear" w:color="auto" w:fill="FFFFFF"/>
        </w:rPr>
        <w:t>. 2020;18(2):177-188. doi:10.1007/s40258-019-00530-2</w:t>
      </w:r>
    </w:p>
    <w:p w14:paraId="79D48E59" w14:textId="49F89906" w:rsidR="00926D4D" w:rsidRPr="0089336D" w:rsidRDefault="00926D4D"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hAnsi="Times New Roman" w:cs="Times New Roman"/>
          <w:color w:val="212121"/>
          <w:sz w:val="20"/>
          <w:szCs w:val="20"/>
          <w:shd w:val="clear" w:color="auto" w:fill="FFFFFF"/>
        </w:rPr>
        <w:t xml:space="preserve">Correll CU, Rubio JM, Kane JM. What is the risk-benefit ratio of long-term antipsychotic treatment in people with schizophrenia? World Psychiatry. 2018 Jun;17(2):149-160. doi: 10.1002/wps.20516. </w:t>
      </w:r>
    </w:p>
    <w:p w14:paraId="0C7A49E4" w14:textId="231CFEA1" w:rsidR="00926D4D" w:rsidRPr="0089336D" w:rsidRDefault="00926D4D"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hAnsi="Times New Roman" w:cs="Times New Roman"/>
          <w:color w:val="303030"/>
          <w:sz w:val="20"/>
          <w:szCs w:val="20"/>
          <w:shd w:val="clear" w:color="auto" w:fill="FFFFFF"/>
        </w:rPr>
        <w:t>Patel KR, Cherian J, Gohil K, Atkinson D. Schizophrenia: overview and treatment options. </w:t>
      </w:r>
      <w:r w:rsidRPr="0089336D">
        <w:rPr>
          <w:rFonts w:ascii="Times New Roman" w:hAnsi="Times New Roman" w:cs="Times New Roman"/>
          <w:i/>
          <w:iCs/>
          <w:color w:val="303030"/>
          <w:sz w:val="20"/>
          <w:szCs w:val="20"/>
          <w:shd w:val="clear" w:color="auto" w:fill="FFFFFF"/>
        </w:rPr>
        <w:t>P T</w:t>
      </w:r>
      <w:r w:rsidRPr="0089336D">
        <w:rPr>
          <w:rFonts w:ascii="Times New Roman" w:hAnsi="Times New Roman" w:cs="Times New Roman"/>
          <w:color w:val="303030"/>
          <w:sz w:val="20"/>
          <w:szCs w:val="20"/>
          <w:shd w:val="clear" w:color="auto" w:fill="FFFFFF"/>
        </w:rPr>
        <w:t>. 2014;39(9):638-645.</w:t>
      </w:r>
    </w:p>
    <w:p w14:paraId="6D9D139F" w14:textId="578A527A" w:rsidR="001758CA" w:rsidRPr="0089336D" w:rsidRDefault="001758CA" w:rsidP="00734987">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212121"/>
          <w:sz w:val="20"/>
          <w:szCs w:val="20"/>
          <w:shd w:val="clear" w:color="auto" w:fill="FFFFFF"/>
        </w:rPr>
        <w:t>Gaebel W, Stricker J, Hasan A, Falkai P, McIntyre JS, Kerst A. The revised DGPPN and APA schizophrenia guidelines: Guideline quality and recommendations for long-term antipsychotic treatment. Schizophr Res. 2021 Mar;229:137-139. doi: 10.1016/j.schres.2020.11.011. Epub 2020 Nov 15. PMID: 33203610.</w:t>
      </w:r>
    </w:p>
    <w:p w14:paraId="29FC38BC" w14:textId="03F4A6E0" w:rsidR="001758CA" w:rsidRPr="0089336D" w:rsidRDefault="007D2BC0" w:rsidP="00734987">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 xml:space="preserve">Novick D, Haro JM, Suarez D, Perez V, Dittmann RW, Haddad PM. Predictors and clinical consequences of non-adherence with antipsychotic medication in the outpatient treatment of schizophrenia. Psychiatry Research. 2010; </w:t>
      </w:r>
      <w:hyperlink r:id="rId11" w:history="1">
        <w:r w:rsidRPr="0089336D">
          <w:rPr>
            <w:rStyle w:val="Hyperlink"/>
            <w:rFonts w:ascii="Times New Roman" w:hAnsi="Times New Roman" w:cs="Times New Roman"/>
            <w:color w:val="000000" w:themeColor="text1"/>
            <w:sz w:val="20"/>
            <w:szCs w:val="20"/>
            <w:u w:val="none"/>
          </w:rPr>
          <w:t>https://doi.org/10.1016/j.psychres.2009.05.004</w:t>
        </w:r>
      </w:hyperlink>
      <w:r w:rsidRPr="0089336D">
        <w:rPr>
          <w:rFonts w:ascii="Times New Roman" w:hAnsi="Times New Roman" w:cs="Times New Roman"/>
          <w:color w:val="000000" w:themeColor="text1"/>
          <w:sz w:val="20"/>
          <w:szCs w:val="20"/>
        </w:rPr>
        <w:t>.</w:t>
      </w:r>
    </w:p>
    <w:p w14:paraId="7153346E" w14:textId="7F51B9D3" w:rsidR="001758CA" w:rsidRPr="0089336D" w:rsidRDefault="001758CA"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212121"/>
          <w:sz w:val="20"/>
          <w:szCs w:val="20"/>
          <w:shd w:val="clear" w:color="auto" w:fill="FFFFFF"/>
        </w:rPr>
        <w:t xml:space="preserve">Emsley R, Chiliza B, Asmal L, Harvey BH. The nature of relapse in schizophrenia. BMC Psychiatry. 2013 Feb 8;13:50. doi: 10.1186/1471-244X-13-50. </w:t>
      </w:r>
    </w:p>
    <w:p w14:paraId="7E39CCC1" w14:textId="3ED8C393" w:rsidR="007D2BC0" w:rsidRPr="0089336D" w:rsidRDefault="007D2BC0"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eastAsia="Times New Roman" w:hAnsi="Times New Roman" w:cs="Times New Roman"/>
          <w:color w:val="000000" w:themeColor="text1"/>
          <w:sz w:val="20"/>
          <w:szCs w:val="20"/>
          <w:shd w:val="clear" w:color="auto" w:fill="FFFFFF"/>
          <w:lang w:eastAsia="en-GB"/>
        </w:rPr>
        <w:t>Crismon L, Argo TR, Buckley PF. Schizophrenia. In: DiPiro JT, Talbert RL, Yee GC, et al., editors. Pharmacotherapy: A Pathophysiologic Approach</w:t>
      </w:r>
      <w:r w:rsidRPr="0089336D">
        <w:rPr>
          <w:rFonts w:ascii="Times New Roman" w:eastAsia="Times New Roman" w:hAnsi="Times New Roman" w:cs="Times New Roman"/>
          <w:i/>
          <w:iCs/>
          <w:color w:val="000000" w:themeColor="text1"/>
          <w:sz w:val="20"/>
          <w:szCs w:val="20"/>
          <w:shd w:val="clear" w:color="auto" w:fill="FFFFFF"/>
          <w:lang w:eastAsia="en-GB"/>
        </w:rPr>
        <w:t>.</w:t>
      </w:r>
      <w:r w:rsidRPr="0089336D">
        <w:rPr>
          <w:rFonts w:ascii="Times New Roman" w:eastAsia="Times New Roman" w:hAnsi="Times New Roman" w:cs="Times New Roman"/>
          <w:color w:val="000000" w:themeColor="text1"/>
          <w:sz w:val="20"/>
          <w:szCs w:val="20"/>
          <w:shd w:val="clear" w:color="auto" w:fill="FFFFFF"/>
          <w:lang w:eastAsia="en-GB"/>
        </w:rPr>
        <w:t> 9th ed. New York, New York: McGraw-Hill; 2014. pp. 1019–1046.</w:t>
      </w:r>
    </w:p>
    <w:p w14:paraId="0A710B8B" w14:textId="1C49301F" w:rsidR="007D2BC0" w:rsidRPr="0089336D" w:rsidRDefault="007D2BC0"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eastAsia="Times New Roman" w:hAnsi="Times New Roman" w:cs="Times New Roman"/>
          <w:color w:val="000000" w:themeColor="text1"/>
          <w:sz w:val="20"/>
          <w:szCs w:val="20"/>
          <w:shd w:val="clear" w:color="auto" w:fill="FFFFFF"/>
          <w:lang w:eastAsia="en-GB"/>
        </w:rPr>
        <w:t>Haddad PM, Brain C, Scott J. Nonadherence with antipsychotic medication in schizophrenia: challenges and management strategies. Patient</w:t>
      </w:r>
      <w:r w:rsidR="00734987" w:rsidRPr="0089336D">
        <w:rPr>
          <w:rFonts w:ascii="Times New Roman" w:eastAsia="Times New Roman" w:hAnsi="Times New Roman" w:cs="Times New Roman"/>
          <w:color w:val="000000" w:themeColor="text1"/>
          <w:sz w:val="20"/>
          <w:szCs w:val="20"/>
          <w:shd w:val="clear" w:color="auto" w:fill="FFFFFF"/>
          <w:lang w:eastAsia="en-GB"/>
        </w:rPr>
        <w:t xml:space="preserve"> Relat Outcome Meas. 2014; doi: </w:t>
      </w:r>
      <w:r w:rsidRPr="0089336D">
        <w:rPr>
          <w:rFonts w:ascii="Times New Roman" w:eastAsia="Times New Roman" w:hAnsi="Times New Roman" w:cs="Times New Roman"/>
          <w:color w:val="000000" w:themeColor="text1"/>
          <w:sz w:val="20"/>
          <w:szCs w:val="20"/>
          <w:shd w:val="clear" w:color="auto" w:fill="FFFFFF"/>
          <w:lang w:eastAsia="en-GB"/>
        </w:rPr>
        <w:t xml:space="preserve">10.2147/PROM.S42735. </w:t>
      </w:r>
    </w:p>
    <w:p w14:paraId="2DD477B0" w14:textId="1CD3ABCE" w:rsidR="007D2BC0" w:rsidRPr="0089336D" w:rsidRDefault="007D2BC0"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eastAsia="Times New Roman" w:hAnsi="Times New Roman" w:cs="Times New Roman"/>
          <w:color w:val="000000" w:themeColor="text1"/>
          <w:sz w:val="20"/>
          <w:szCs w:val="20"/>
          <w:shd w:val="clear" w:color="auto" w:fill="FFFFFF"/>
          <w:lang w:eastAsia="en-GB"/>
        </w:rPr>
        <w:t>Park SC, Choi MY, Choi J, Park E, Tchoe HJ, Suh JK</w:t>
      </w:r>
      <w:r w:rsidR="008A308B">
        <w:rPr>
          <w:rFonts w:ascii="Times New Roman" w:eastAsia="Times New Roman" w:hAnsi="Times New Roman" w:cs="Times New Roman"/>
          <w:color w:val="000000" w:themeColor="text1"/>
          <w:sz w:val="20"/>
          <w:szCs w:val="20"/>
          <w:shd w:val="clear" w:color="auto" w:fill="FFFFFF"/>
          <w:lang w:eastAsia="en-GB"/>
        </w:rPr>
        <w:t xml:space="preserve"> et al</w:t>
      </w:r>
      <w:r w:rsidRPr="0089336D">
        <w:rPr>
          <w:rFonts w:ascii="Times New Roman" w:eastAsia="Times New Roman" w:hAnsi="Times New Roman" w:cs="Times New Roman"/>
          <w:color w:val="000000" w:themeColor="text1"/>
          <w:sz w:val="20"/>
          <w:szCs w:val="20"/>
          <w:shd w:val="clear" w:color="auto" w:fill="FFFFFF"/>
          <w:lang w:eastAsia="en-GB"/>
        </w:rPr>
        <w:t>. Comparative Efficacy and Safety of Long-acting Injectable and Oral Second-generation Antipsychotics for the Treatment of Schizophrenia: A Systematic Review and Meta-analysis. Clin Psychopharmacol Neurosci. 2018; doi: 10.9758/cpn.2018.16.4.361.</w:t>
      </w:r>
    </w:p>
    <w:p w14:paraId="4B006A83" w14:textId="7F72C9A9" w:rsidR="007D2BC0" w:rsidRPr="0089336D" w:rsidRDefault="007D2BC0" w:rsidP="007D2BC0">
      <w:pPr>
        <w:pStyle w:val="ListParagraph"/>
        <w:numPr>
          <w:ilvl w:val="0"/>
          <w:numId w:val="2"/>
        </w:numPr>
        <w:spacing w:after="0" w:line="240" w:lineRule="auto"/>
        <w:rPr>
          <w:rFonts w:ascii="Times New Roman" w:eastAsia="Times New Roman" w:hAnsi="Times New Roman" w:cs="Times New Roman"/>
          <w:color w:val="000000" w:themeColor="text1"/>
          <w:sz w:val="20"/>
          <w:szCs w:val="20"/>
          <w:lang w:eastAsia="en-GB"/>
        </w:rPr>
      </w:pPr>
      <w:r w:rsidRPr="00F72A61">
        <w:rPr>
          <w:rFonts w:ascii="Times New Roman" w:eastAsia="Times New Roman" w:hAnsi="Times New Roman" w:cs="Times New Roman"/>
          <w:color w:val="000000" w:themeColor="text1"/>
          <w:sz w:val="20"/>
          <w:szCs w:val="20"/>
          <w:lang w:val="es-ES_tradnl" w:eastAsia="en-GB"/>
        </w:rPr>
        <w:t>Valsecchi P, Barlati S, Garozzo A, Deste G, Nibbio G, Turrina C</w:t>
      </w:r>
      <w:r w:rsidR="008A308B" w:rsidRPr="00F72A61">
        <w:rPr>
          <w:rFonts w:ascii="Times New Roman" w:eastAsia="Times New Roman" w:hAnsi="Times New Roman" w:cs="Times New Roman"/>
          <w:color w:val="000000" w:themeColor="text1"/>
          <w:sz w:val="20"/>
          <w:szCs w:val="20"/>
          <w:lang w:val="es-ES_tradnl" w:eastAsia="en-GB"/>
        </w:rPr>
        <w:t xml:space="preserve"> et al</w:t>
      </w:r>
      <w:r w:rsidRPr="00F72A61">
        <w:rPr>
          <w:rFonts w:ascii="Times New Roman" w:eastAsia="Times New Roman" w:hAnsi="Times New Roman" w:cs="Times New Roman"/>
          <w:color w:val="000000" w:themeColor="text1"/>
          <w:sz w:val="20"/>
          <w:szCs w:val="20"/>
          <w:lang w:val="es-ES_tradnl" w:eastAsia="en-GB"/>
        </w:rPr>
        <w:t xml:space="preserve">. </w:t>
      </w:r>
      <w:r w:rsidRPr="0089336D">
        <w:rPr>
          <w:rFonts w:ascii="Times New Roman" w:eastAsia="Times New Roman" w:hAnsi="Times New Roman" w:cs="Times New Roman"/>
          <w:color w:val="000000" w:themeColor="text1"/>
          <w:sz w:val="20"/>
          <w:szCs w:val="20"/>
          <w:lang w:eastAsia="en-GB"/>
        </w:rPr>
        <w:t xml:space="preserve">Paliperidone palmitate in short- and long-term treatment of schizophrenia. Riv Psichiatr. 2019; doi: </w:t>
      </w:r>
      <w:hyperlink r:id="rId12" w:tgtFrame="_blank" w:history="1">
        <w:r w:rsidRPr="0089336D">
          <w:rPr>
            <w:rStyle w:val="Hyperlink"/>
            <w:rFonts w:ascii="Times New Roman" w:eastAsia="Times New Roman" w:hAnsi="Times New Roman" w:cs="Times New Roman"/>
            <w:color w:val="000000" w:themeColor="text1"/>
            <w:sz w:val="20"/>
            <w:szCs w:val="20"/>
            <w:u w:val="none"/>
            <w:lang w:eastAsia="en-GB"/>
          </w:rPr>
          <w:t>10.1708/3281.32542</w:t>
        </w:r>
      </w:hyperlink>
    </w:p>
    <w:p w14:paraId="6A02F9AE"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Correll CU, Lauriello J. Using Long-Acting Injectable Antipsychotics to Enhance the Potential for Recovery in Schizophrenia. J Clin Psychiatry. 2020; doi: 10.4088/JCP.MS19053AH5C.</w:t>
      </w:r>
    </w:p>
    <w:p w14:paraId="0F317D1A" w14:textId="71AF51B3"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F72A61">
        <w:rPr>
          <w:rFonts w:ascii="Times New Roman" w:hAnsi="Times New Roman" w:cs="Times New Roman"/>
          <w:color w:val="000000" w:themeColor="text1"/>
          <w:sz w:val="20"/>
          <w:szCs w:val="20"/>
          <w:shd w:val="clear" w:color="auto" w:fill="FFFFFF"/>
          <w:lang w:val="es-ES_tradnl"/>
        </w:rPr>
        <w:t>Biagi E, Capuzzi E, Colmegna F, Mascarini A, Brambilla G, Ornaghi A</w:t>
      </w:r>
      <w:r w:rsidR="008A308B" w:rsidRPr="00F72A61">
        <w:rPr>
          <w:rFonts w:ascii="Times New Roman" w:hAnsi="Times New Roman" w:cs="Times New Roman"/>
          <w:color w:val="000000" w:themeColor="text1"/>
          <w:sz w:val="20"/>
          <w:szCs w:val="20"/>
          <w:shd w:val="clear" w:color="auto" w:fill="FFFFFF"/>
          <w:lang w:val="es-ES_tradnl"/>
        </w:rPr>
        <w:t xml:space="preserve"> et al</w:t>
      </w:r>
      <w:r w:rsidRPr="00F72A61">
        <w:rPr>
          <w:rFonts w:ascii="Times New Roman" w:hAnsi="Times New Roman" w:cs="Times New Roman"/>
          <w:color w:val="000000" w:themeColor="text1"/>
          <w:sz w:val="20"/>
          <w:szCs w:val="20"/>
          <w:shd w:val="clear" w:color="auto" w:fill="FFFFFF"/>
          <w:lang w:val="es-ES_tradnl"/>
        </w:rPr>
        <w:t xml:space="preserve">. </w:t>
      </w:r>
      <w:r w:rsidRPr="0089336D">
        <w:rPr>
          <w:rFonts w:ascii="Times New Roman" w:hAnsi="Times New Roman" w:cs="Times New Roman"/>
          <w:color w:val="000000" w:themeColor="text1"/>
          <w:sz w:val="20"/>
          <w:szCs w:val="20"/>
          <w:shd w:val="clear" w:color="auto" w:fill="FFFFFF"/>
        </w:rPr>
        <w:t xml:space="preserve">Long-Acting Injectable Antipsychotics in Schizophrenia: Literature Review and Practical Perspective, with a Focus on Aripiprazole Once-Monthly. Adv Ther. 2017; doi: 10.1007/s12325-017-0507-x. </w:t>
      </w:r>
    </w:p>
    <w:p w14:paraId="78990FB4" w14:textId="0CCF1F5C"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Pappa S, Mason K, Howard E. Long-term effects of paliperidone palmitate on hospital stay and treatment continuation. Int Clin Psychopharmacol. 2019; doi: 10.1097/YIC.0000000000000285.</w:t>
      </w:r>
    </w:p>
    <w:p w14:paraId="00F2B723" w14:textId="665622E9" w:rsidR="0060176D" w:rsidRPr="0089336D" w:rsidRDefault="00730CFE" w:rsidP="0089336D">
      <w:pPr>
        <w:pStyle w:val="ListParagraph"/>
        <w:numPr>
          <w:ilvl w:val="0"/>
          <w:numId w:val="2"/>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Garc</w:t>
      </w:r>
      <w:r w:rsidR="00434D4D">
        <w:rPr>
          <w:rFonts w:ascii="Times New Roman" w:hAnsi="Times New Roman" w:cs="Times New Roman"/>
          <w:color w:val="000000" w:themeColor="text1"/>
          <w:sz w:val="20"/>
          <w:szCs w:val="20"/>
        </w:rPr>
        <w:t>í</w:t>
      </w:r>
      <w:r>
        <w:rPr>
          <w:rFonts w:ascii="Times New Roman" w:hAnsi="Times New Roman" w:cs="Times New Roman"/>
          <w:color w:val="000000" w:themeColor="text1"/>
          <w:sz w:val="20"/>
          <w:szCs w:val="20"/>
        </w:rPr>
        <w:t>a-Carmona J, Barnett J, Campos-Navarro MP, Mason K, Valdivia-M</w:t>
      </w:r>
      <w:r w:rsidR="00434D4D">
        <w:rPr>
          <w:rFonts w:ascii="Times New Roman" w:hAnsi="Times New Roman" w:cs="Times New Roman"/>
          <w:color w:val="000000" w:themeColor="text1"/>
          <w:sz w:val="20"/>
          <w:szCs w:val="20"/>
        </w:rPr>
        <w:t>u</w:t>
      </w:r>
      <w:r w:rsidR="00434D4D" w:rsidRPr="0089336D">
        <w:rPr>
          <w:rFonts w:ascii="Times New Roman" w:hAnsi="Times New Roman" w:cs="Times New Roman"/>
          <w:bCs/>
          <w:color w:val="000000" w:themeColor="text1"/>
          <w:sz w:val="20"/>
          <w:szCs w:val="20"/>
        </w:rPr>
        <w:t>ñ</w:t>
      </w:r>
      <w:r>
        <w:rPr>
          <w:rFonts w:ascii="Times New Roman" w:hAnsi="Times New Roman" w:cs="Times New Roman"/>
          <w:color w:val="000000" w:themeColor="text1"/>
          <w:sz w:val="20"/>
          <w:szCs w:val="20"/>
        </w:rPr>
        <w:t xml:space="preserve">oz F, Pappa S. </w:t>
      </w:r>
      <w:r w:rsidRPr="00730CFE">
        <w:rPr>
          <w:rFonts w:ascii="Times New Roman" w:hAnsi="Times New Roman" w:cs="Times New Roman"/>
          <w:color w:val="000000" w:themeColor="text1"/>
          <w:sz w:val="20"/>
          <w:szCs w:val="20"/>
        </w:rPr>
        <w:t>Comparative effectiveness of long-acting injectable antipsychotics in a large naturalistic cohort across two European centres: Findings from the long-acting injectable antipsychotics collaborative (LAICO) study.</w:t>
      </w:r>
      <w:r w:rsidR="009C64AC">
        <w:rPr>
          <w:rFonts w:ascii="Times New Roman" w:hAnsi="Times New Roman" w:cs="Times New Roman"/>
          <w:color w:val="000000" w:themeColor="text1"/>
          <w:sz w:val="20"/>
          <w:szCs w:val="20"/>
        </w:rPr>
        <w:t xml:space="preserve"> Neuroscience Applied. 2022;1; </w:t>
      </w:r>
      <w:r w:rsidR="009C64AC" w:rsidRPr="009C64AC">
        <w:rPr>
          <w:rFonts w:ascii="Times New Roman" w:hAnsi="Times New Roman" w:cs="Times New Roman"/>
          <w:color w:val="000000" w:themeColor="text1"/>
          <w:sz w:val="20"/>
          <w:szCs w:val="20"/>
        </w:rPr>
        <w:t>doi.org/10.1016/j.nsa.2022.100111</w:t>
      </w:r>
    </w:p>
    <w:p w14:paraId="22FC749D"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Kishimoto J. Long-acting injectable versus oral antipsychotics in schizophrenia: a systematic review and meta-analysis. J Clin Psychiatry. 2013;74:957–65.</w:t>
      </w:r>
    </w:p>
    <w:p w14:paraId="4A126734"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 xml:space="preserve">Joint Formulary Committee. Paliperidone. In: British National Formulary (online). BMJ Group and pharmaceutical Press </w:t>
      </w:r>
      <w:hyperlink r:id="rId13" w:history="1">
        <w:r w:rsidRPr="0089336D">
          <w:rPr>
            <w:rStyle w:val="Hyperlink"/>
            <w:rFonts w:ascii="Times New Roman" w:hAnsi="Times New Roman" w:cs="Times New Roman"/>
            <w:color w:val="000000" w:themeColor="text1"/>
            <w:sz w:val="20"/>
            <w:szCs w:val="20"/>
          </w:rPr>
          <w:t>https://bnf.nice.org.uk/drug/paliperidone</w:t>
        </w:r>
      </w:hyperlink>
      <w:r w:rsidRPr="0089336D">
        <w:rPr>
          <w:rFonts w:ascii="Times New Roman" w:hAnsi="Times New Roman" w:cs="Times New Roman"/>
          <w:color w:val="000000" w:themeColor="text1"/>
          <w:sz w:val="20"/>
          <w:szCs w:val="20"/>
        </w:rPr>
        <w:t>. Accessed 20 February 2022</w:t>
      </w:r>
    </w:p>
    <w:p w14:paraId="3F0E0A43" w14:textId="02C5E403"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Alphs L, Benson C, Cheshire-Kinney K, Lindenmayer JP, Mao L, Rodriguez SC</w:t>
      </w:r>
      <w:r w:rsidR="008A308B">
        <w:rPr>
          <w:rFonts w:ascii="Times New Roman" w:hAnsi="Times New Roman" w:cs="Times New Roman"/>
          <w:color w:val="000000" w:themeColor="text1"/>
          <w:sz w:val="20"/>
          <w:szCs w:val="20"/>
          <w:shd w:val="clear" w:color="auto" w:fill="FFFFFF"/>
        </w:rPr>
        <w:t xml:space="preserve"> et al</w:t>
      </w:r>
      <w:r w:rsidRPr="0089336D">
        <w:rPr>
          <w:rFonts w:ascii="Times New Roman" w:hAnsi="Times New Roman" w:cs="Times New Roman"/>
          <w:color w:val="000000" w:themeColor="text1"/>
          <w:sz w:val="20"/>
          <w:szCs w:val="20"/>
          <w:shd w:val="clear" w:color="auto" w:fill="FFFFFF"/>
        </w:rPr>
        <w:t xml:space="preserve">. Real-world outcomes of paliperidone palmitate compared to daily oral antipsychotic therapy in schizophrenia: a randomized, open-label, review board-blinded 15-month study. J Clin Psychiatry. 2015; doi: 10.4088/JCP.14m09584. </w:t>
      </w:r>
    </w:p>
    <w:p w14:paraId="18AC740D" w14:textId="6A39776B"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lastRenderedPageBreak/>
        <w:t xml:space="preserve">Pappa S, Mason K. Partial compliance with long-acting paliperidone palmitate and impact on hospitalization: a 6-year mirror-image study. Ther Adv Psychopharmacol. 2020; doi: 10.1177/2045125320924789. </w:t>
      </w:r>
    </w:p>
    <w:p w14:paraId="39A732EA" w14:textId="1CC73ABC" w:rsidR="006A1263" w:rsidRPr="0089336D" w:rsidRDefault="006A1263"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212121"/>
          <w:sz w:val="20"/>
          <w:szCs w:val="20"/>
          <w:shd w:val="clear" w:color="auto" w:fill="FFFFFF"/>
        </w:rPr>
        <w:t>Luther K, Fung GM, Khorassani F. Cost Comparison of Atypical Antipsychotics: Paliperidone ER and Risperidone. Hosp Pharm. 2019 Dec;54(6):389-392. doi: 10.1177/0018578718809269. Epub 2018 Nov 4. PMID: 31762487; PMCID: PMC6852033</w:t>
      </w:r>
    </w:p>
    <w:p w14:paraId="2AECC3AE"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Bressington D, Stock J, Hulbert S, MacInnes D. A retrospective observational study of the effectiveness of paliperidone palmitate on acute inpatient hospitalization rates. Int Clin Psychopharmacol. 2015;30:230–236.</w:t>
      </w:r>
    </w:p>
    <w:p w14:paraId="581BC373"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Deslandes PN, Ward EH, Norris K, Sewell RD. Effectiveness of paliperidone long-acting injection in clinical practice. Ther Adv Psychopharmacol. 2018;8:139–145.</w:t>
      </w:r>
    </w:p>
    <w:p w14:paraId="3C25F96E"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Whale R, Pereira M, Cuthbert S, Fialho R. Effectiveness and predictors of continuation of paliperidone palmitate long-acting injection treatment: a 12-month naturalistic cohort study. J Clin Psychopharmacol. 2015;35:591–595.</w:t>
      </w:r>
    </w:p>
    <w:p w14:paraId="17DEC4F5"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Taylor DM, Sparshatt A, O’Hagan M, Dzahini O. Effect of paliperidone palmitate on hospitalisation in a naturalistic cohort - a four-year mirror image study. Eur Psychiatry. 2016;37:43–48.</w:t>
      </w:r>
    </w:p>
    <w:p w14:paraId="5836B63B"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Nikolić N, Page N, Akram A, Khan M. The impact of paliperidone palmitate long-acting injection on hospital admissions in a mental health setting. Int Clin Psychopharmacol. 2017;32:95–102.</w:t>
      </w:r>
    </w:p>
    <w:p w14:paraId="45F9DD5C"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F72A61">
        <w:rPr>
          <w:rFonts w:ascii="Times New Roman" w:eastAsia="Times New Roman" w:hAnsi="Times New Roman" w:cs="Times New Roman"/>
          <w:iCs/>
          <w:color w:val="000000" w:themeColor="text1"/>
          <w:sz w:val="20"/>
          <w:szCs w:val="20"/>
          <w:lang w:val="en-NZ"/>
        </w:rPr>
        <w:t xml:space="preserve">Taipale H, Mehtälä J, Tanskanen A, Tiihonen J. Comparative effectiveness of antipsychotic drugs for rehospitalization in schizophrenia-a Nationwide study with 20-year follow-up. </w:t>
      </w:r>
      <w:r w:rsidRPr="0089336D">
        <w:rPr>
          <w:rFonts w:ascii="Times New Roman" w:eastAsia="Times New Roman" w:hAnsi="Times New Roman" w:cs="Times New Roman"/>
          <w:iCs/>
          <w:color w:val="000000" w:themeColor="text1"/>
          <w:sz w:val="20"/>
          <w:szCs w:val="20"/>
          <w:lang w:val="es-ES"/>
        </w:rPr>
        <w:t>Schizophr Bull. 2018; doi.org/10.1093/schbul/sbx176</w:t>
      </w:r>
    </w:p>
    <w:p w14:paraId="1DADE9CA"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 xml:space="preserve">Mason K, Barnett J, Pappa S. Effectiveness of 2-year treatment with aripiprazole long-acting injectable and comparison with paliperidone palmitate. Ther Adv Psychopharmacol. 2021; doi: 10.1177/20451253211029490. </w:t>
      </w:r>
    </w:p>
    <w:p w14:paraId="33EEBC48"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Patel R, Chesney E, Taylor M, Taylor D, McGuire P. Is paliperidone palmitate more effective than other long-acting injectable antipsychotics? Psychol Med. 2018;48:1616–1623.</w:t>
      </w:r>
    </w:p>
    <w:p w14:paraId="68B9DE16" w14:textId="7CC8F5C4"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 xml:space="preserve">Subotnik KL, Casaus LR, Ventura J, Luo JS, Hellemann GS, Gretchen-Doorly D, Marder S, </w:t>
      </w:r>
      <w:r w:rsidR="008A308B">
        <w:rPr>
          <w:rFonts w:ascii="Times New Roman" w:hAnsi="Times New Roman" w:cs="Times New Roman"/>
          <w:color w:val="000000" w:themeColor="text1"/>
          <w:sz w:val="20"/>
          <w:szCs w:val="20"/>
          <w:shd w:val="clear" w:color="auto" w:fill="FFFFFF"/>
        </w:rPr>
        <w:t>et al</w:t>
      </w:r>
      <w:r w:rsidRPr="0089336D">
        <w:rPr>
          <w:rFonts w:ascii="Times New Roman" w:hAnsi="Times New Roman" w:cs="Times New Roman"/>
          <w:color w:val="000000" w:themeColor="text1"/>
          <w:sz w:val="20"/>
          <w:szCs w:val="20"/>
          <w:shd w:val="clear" w:color="auto" w:fill="FFFFFF"/>
        </w:rPr>
        <w:t xml:space="preserve">. Long-Acting Injectable Risperidone for Relapse Prevention and Control of Breakthrough Symptoms After a Recent First Episode of Schizophrenia. A Randomized Clinical Trial. JAMA Psychiatry. 2015; doi: 10.1001/jamapsychiatry.2015.0270. </w:t>
      </w:r>
    </w:p>
    <w:p w14:paraId="3D89DA38"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Stahl SM. Long-acting injectable antipsychotics: shall the last be first? CNS Spectr. 2014;19:3–5.</w:t>
      </w:r>
    </w:p>
    <w:p w14:paraId="6C856338"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Samalin L, Garnier M, Auclair C, Llorca PM. Clinical Decision-Making in the Treatment of Schizophrenia: Focus on Long-Acting Injectable Antipsychotics. Int J Mol Sci. 2016; doi: 10.3390/ijms17111935.</w:t>
      </w:r>
    </w:p>
    <w:p w14:paraId="543C431E" w14:textId="448966A0"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Pappa S, Barnett J, Gomme S, Iliopoulou A, Moore I, Whitaker M</w:t>
      </w:r>
      <w:r w:rsidR="008A308B">
        <w:rPr>
          <w:rFonts w:ascii="Times New Roman" w:hAnsi="Times New Roman" w:cs="Times New Roman"/>
          <w:color w:val="000000" w:themeColor="text1"/>
          <w:sz w:val="20"/>
          <w:szCs w:val="20"/>
          <w:shd w:val="clear" w:color="auto" w:fill="FFFFFF"/>
        </w:rPr>
        <w:t xml:space="preserve"> et al</w:t>
      </w:r>
      <w:r w:rsidRPr="0089336D">
        <w:rPr>
          <w:rFonts w:ascii="Times New Roman" w:hAnsi="Times New Roman" w:cs="Times New Roman"/>
          <w:color w:val="000000" w:themeColor="text1"/>
          <w:sz w:val="20"/>
          <w:szCs w:val="20"/>
          <w:shd w:val="clear" w:color="auto" w:fill="FFFFFF"/>
        </w:rPr>
        <w:t>. Shared and Supported Decision Making in Medication in a Mental Health Setting: How Far Have We Come? Community Ment Health J. 2021; doi: 10.1007/s10597-021-00780-2.</w:t>
      </w:r>
    </w:p>
    <w:p w14:paraId="26E7C5C5"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 xml:space="preserve">Kane JM, McEvoy JP, Correll CU, Llorca PM. Controversies Surrounding the Use of Long-Acting Injectable Antipsychotic Medications for the Treatment of Patients with Schizophrenia. CNS Drugs. 2021; doi: 10.1007/s40263-021-00861-6. </w:t>
      </w:r>
    </w:p>
    <w:p w14:paraId="249AD150"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Taylor DM, Fischetti C, Sparshatt A, Thomas A, Bishara D, Cornelius V. Risperidone long-acting injection: a prospective 3-year analysis of its use in clinical practice. J Clin Psychiatry. 2009;70:196–200.</w:t>
      </w:r>
    </w:p>
    <w:p w14:paraId="625CAD1F"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Mace S, Dzahini O, O’Hagan M, Taylor D. Haloperidol decanoate long-acting injection (HDLAI): results of a 1-year mirror-image study. Ther Adv Psychopharmacol. 2018;8:241–249.</w:t>
      </w:r>
    </w:p>
    <w:p w14:paraId="186A6DE8" w14:textId="77777777" w:rsidR="007D2BC0" w:rsidRPr="0089336D" w:rsidRDefault="007D2BC0"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shd w:val="clear" w:color="auto" w:fill="FFFFFF"/>
        </w:rPr>
        <w:t>Pantall SA, Pilsbury J, Gan L, Brownell L. A two-year mirror-image study of the effect of treatment with paliperidone and aripiprazole long-acting injections on need for inpatient care and home treatment intervention. BJPsych Open. 2021; doi: 10.1192/bjo.2021.745.</w:t>
      </w:r>
    </w:p>
    <w:p w14:paraId="06BE1889" w14:textId="175AFBE1" w:rsidR="00C1789B" w:rsidRPr="0089336D" w:rsidRDefault="00C1789B"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F72A61">
        <w:rPr>
          <w:rFonts w:ascii="Times New Roman" w:hAnsi="Times New Roman" w:cs="Times New Roman"/>
          <w:bCs/>
          <w:color w:val="000000" w:themeColor="text1"/>
          <w:sz w:val="20"/>
          <w:szCs w:val="20"/>
          <w:bdr w:val="none" w:sz="0" w:space="0" w:color="auto" w:frame="1"/>
          <w:shd w:val="clear" w:color="auto" w:fill="FFFFFF"/>
          <w:lang w:val="es-ES_tradnl"/>
        </w:rPr>
        <w:t xml:space="preserve">Subotnik KL, Casaus LR, Ventura J et al. </w:t>
      </w:r>
      <w:r w:rsidRPr="0089336D">
        <w:rPr>
          <w:rFonts w:ascii="Times New Roman" w:hAnsi="Times New Roman" w:cs="Times New Roman"/>
          <w:bCs/>
          <w:color w:val="000000" w:themeColor="text1"/>
          <w:sz w:val="20"/>
          <w:szCs w:val="20"/>
          <w:bdr w:val="none" w:sz="0" w:space="0" w:color="auto" w:frame="1"/>
          <w:shd w:val="clear" w:color="auto" w:fill="FFFFFF"/>
          <w:lang w:val="en-US"/>
        </w:rPr>
        <w:t>Longacting injectable risperidone for relapse prevention and control of breakthrough symptoms after a recent first episode of schizophrenia. A randomized clinical trial. </w:t>
      </w:r>
      <w:r w:rsidRPr="0089336D">
        <w:rPr>
          <w:rFonts w:ascii="Times New Roman" w:hAnsi="Times New Roman" w:cs="Times New Roman"/>
          <w:bCs/>
          <w:i/>
          <w:iCs/>
          <w:color w:val="000000" w:themeColor="text1"/>
          <w:sz w:val="20"/>
          <w:szCs w:val="20"/>
          <w:bdr w:val="none" w:sz="0" w:space="0" w:color="auto" w:frame="1"/>
          <w:shd w:val="clear" w:color="auto" w:fill="FFFFFF"/>
          <w:lang w:val="en-US"/>
        </w:rPr>
        <w:t>JAMA Psychiatry</w:t>
      </w:r>
      <w:r w:rsidRPr="0089336D">
        <w:rPr>
          <w:rFonts w:ascii="Times New Roman" w:hAnsi="Times New Roman" w:cs="Times New Roman"/>
          <w:bCs/>
          <w:color w:val="000000" w:themeColor="text1"/>
          <w:sz w:val="20"/>
          <w:szCs w:val="20"/>
          <w:bdr w:val="none" w:sz="0" w:space="0" w:color="auto" w:frame="1"/>
          <w:shd w:val="clear" w:color="auto" w:fill="FFFFFF"/>
          <w:lang w:val="en-US"/>
        </w:rPr>
        <w:t> 2015;72(8):822–9</w:t>
      </w:r>
    </w:p>
    <w:p w14:paraId="14E26621" w14:textId="6C412661" w:rsidR="00C1789B" w:rsidRPr="0089336D" w:rsidRDefault="00C1789B" w:rsidP="007D2BC0">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bCs/>
          <w:color w:val="000000" w:themeColor="text1"/>
          <w:sz w:val="20"/>
          <w:szCs w:val="20"/>
          <w:bdr w:val="none" w:sz="0" w:space="0" w:color="auto" w:frame="1"/>
          <w:shd w:val="clear" w:color="auto" w:fill="FFFFFF"/>
          <w:lang w:val="en-US"/>
        </w:rPr>
        <w:t>Schreiner A, Aadamsoo K, Altamura AC. Paliperidone palmitate versus oral antipsychotics in recently diagnosed schizophrenia. </w:t>
      </w:r>
      <w:r w:rsidRPr="0089336D">
        <w:rPr>
          <w:rFonts w:ascii="Times New Roman" w:hAnsi="Times New Roman" w:cs="Times New Roman"/>
          <w:bCs/>
          <w:i/>
          <w:iCs/>
          <w:color w:val="000000" w:themeColor="text1"/>
          <w:sz w:val="20"/>
          <w:szCs w:val="20"/>
          <w:bdr w:val="none" w:sz="0" w:space="0" w:color="auto" w:frame="1"/>
          <w:shd w:val="clear" w:color="auto" w:fill="FFFFFF"/>
          <w:lang w:val="en-US"/>
        </w:rPr>
        <w:t>Schizophr Res</w:t>
      </w:r>
      <w:r w:rsidRPr="0089336D">
        <w:rPr>
          <w:rFonts w:ascii="Times New Roman" w:hAnsi="Times New Roman" w:cs="Times New Roman"/>
          <w:bCs/>
          <w:color w:val="000000" w:themeColor="text1"/>
          <w:sz w:val="20"/>
          <w:szCs w:val="20"/>
          <w:bdr w:val="none" w:sz="0" w:space="0" w:color="auto" w:frame="1"/>
          <w:shd w:val="clear" w:color="auto" w:fill="FFFFFF"/>
          <w:lang w:val="en-US"/>
        </w:rPr>
        <w:t> 2015;169(1–3):393–9</w:t>
      </w:r>
    </w:p>
    <w:p w14:paraId="0A0DB80A" w14:textId="1A344AAC" w:rsidR="00C1789B" w:rsidRPr="00F2629E" w:rsidRDefault="00C1789B">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eastAsia="Times New Roman" w:hAnsi="Times New Roman" w:cs="Times New Roman"/>
          <w:bCs/>
          <w:color w:val="000000" w:themeColor="text1"/>
          <w:sz w:val="20"/>
          <w:szCs w:val="20"/>
          <w:bdr w:val="none" w:sz="0" w:space="0" w:color="auto" w:frame="1"/>
          <w:lang w:val="en-US" w:eastAsia="en-GB"/>
        </w:rPr>
        <w:t>Kahn RS, Fleischhacker WW, Boter H et al. Effectiveness of antipsychotic drugs in first-episode schizophrenia and schizophreniform disorder: an open randomised clinical trial. </w:t>
      </w:r>
      <w:r w:rsidRPr="0089336D">
        <w:rPr>
          <w:rFonts w:ascii="Times New Roman" w:eastAsia="Times New Roman" w:hAnsi="Times New Roman" w:cs="Times New Roman"/>
          <w:bCs/>
          <w:i/>
          <w:iCs/>
          <w:color w:val="000000" w:themeColor="text1"/>
          <w:sz w:val="20"/>
          <w:szCs w:val="20"/>
          <w:bdr w:val="none" w:sz="0" w:space="0" w:color="auto" w:frame="1"/>
          <w:lang w:val="en-US" w:eastAsia="en-GB"/>
        </w:rPr>
        <w:t>Lancet</w:t>
      </w:r>
      <w:r w:rsidRPr="0089336D">
        <w:rPr>
          <w:rFonts w:ascii="Times New Roman" w:eastAsia="Times New Roman" w:hAnsi="Times New Roman" w:cs="Times New Roman"/>
          <w:bCs/>
          <w:color w:val="000000" w:themeColor="text1"/>
          <w:sz w:val="20"/>
          <w:szCs w:val="20"/>
          <w:bdr w:val="none" w:sz="0" w:space="0" w:color="auto" w:frame="1"/>
          <w:lang w:val="en-US" w:eastAsia="en-GB"/>
        </w:rPr>
        <w:t> 2008;371:1085–97 </w:t>
      </w:r>
    </w:p>
    <w:p w14:paraId="1466F660" w14:textId="68477861" w:rsidR="00C1789B" w:rsidRPr="00F2629E" w:rsidRDefault="00C1789B" w:rsidP="00734987">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0"/>
          <w:szCs w:val="20"/>
          <w:lang w:eastAsia="en-GB"/>
        </w:rPr>
      </w:pPr>
      <w:r w:rsidRPr="0089336D">
        <w:rPr>
          <w:rFonts w:ascii="Times New Roman" w:eastAsia="Times New Roman" w:hAnsi="Times New Roman" w:cs="Times New Roman"/>
          <w:bCs/>
          <w:color w:val="000000" w:themeColor="text1"/>
          <w:sz w:val="20"/>
          <w:szCs w:val="20"/>
          <w:bdr w:val="none" w:sz="0" w:space="0" w:color="auto" w:frame="1"/>
          <w:lang w:val="en-US" w:eastAsia="en-GB"/>
        </w:rPr>
        <w:t>Lieberman JA, Stroup TS, McEvoy JP et at. Effectiveness of Antipsychotic Drugs in Patients with Chronic Schizophrenia. </w:t>
      </w:r>
      <w:r w:rsidRPr="0089336D">
        <w:rPr>
          <w:rFonts w:ascii="Times New Roman" w:eastAsia="Times New Roman" w:hAnsi="Times New Roman" w:cs="Times New Roman"/>
          <w:bCs/>
          <w:i/>
          <w:iCs/>
          <w:color w:val="000000" w:themeColor="text1"/>
          <w:sz w:val="20"/>
          <w:szCs w:val="20"/>
          <w:bdr w:val="none" w:sz="0" w:space="0" w:color="auto" w:frame="1"/>
          <w:lang w:val="en-US" w:eastAsia="en-GB"/>
        </w:rPr>
        <w:t>N Engl J Med</w:t>
      </w:r>
      <w:r w:rsidRPr="0089336D">
        <w:rPr>
          <w:rFonts w:ascii="Times New Roman" w:eastAsia="Times New Roman" w:hAnsi="Times New Roman" w:cs="Times New Roman"/>
          <w:bCs/>
          <w:color w:val="000000" w:themeColor="text1"/>
          <w:sz w:val="20"/>
          <w:szCs w:val="20"/>
          <w:bdr w:val="none" w:sz="0" w:space="0" w:color="auto" w:frame="1"/>
          <w:lang w:val="en-US" w:eastAsia="en-GB"/>
        </w:rPr>
        <w:t> 2005;353(12):1209-23</w:t>
      </w:r>
    </w:p>
    <w:p w14:paraId="217EC85D" w14:textId="111DDC68" w:rsidR="00D67671" w:rsidRDefault="00C1789B" w:rsidP="0089336D">
      <w:pPr>
        <w:pStyle w:val="ListParagraph"/>
        <w:numPr>
          <w:ilvl w:val="0"/>
          <w:numId w:val="2"/>
        </w:numPr>
        <w:spacing w:after="0" w:line="240" w:lineRule="auto"/>
        <w:rPr>
          <w:rFonts w:ascii="Times New Roman" w:hAnsi="Times New Roman" w:cs="Times New Roman"/>
          <w:color w:val="000000" w:themeColor="text1"/>
          <w:sz w:val="20"/>
          <w:szCs w:val="20"/>
        </w:rPr>
      </w:pPr>
      <w:r w:rsidRPr="0089336D">
        <w:rPr>
          <w:rFonts w:ascii="Times New Roman" w:hAnsi="Times New Roman" w:cs="Times New Roman"/>
          <w:color w:val="000000" w:themeColor="text1"/>
          <w:sz w:val="20"/>
          <w:szCs w:val="20"/>
        </w:rPr>
        <w:t>Attard A, Olofinjana O, Cornelius V, Curtis V, Taylor D. Paliperidone palmitate long-acting injection–prospective year-long follow-up of use in clinical practice. Acta Psychiatr Scand. 2014;130:46–51.</w:t>
      </w:r>
    </w:p>
    <w:p w14:paraId="419D3243" w14:textId="7FA57305" w:rsidR="005C42D2" w:rsidRPr="005C42D2" w:rsidRDefault="005C42D2" w:rsidP="0089336D">
      <w:pPr>
        <w:pStyle w:val="ListParagraph"/>
        <w:numPr>
          <w:ilvl w:val="0"/>
          <w:numId w:val="2"/>
        </w:numPr>
        <w:spacing w:after="0" w:line="240" w:lineRule="auto"/>
        <w:rPr>
          <w:rFonts w:ascii="Times New Roman" w:hAnsi="Times New Roman" w:cs="Times New Roman"/>
          <w:color w:val="000000" w:themeColor="text1"/>
          <w:sz w:val="20"/>
          <w:szCs w:val="20"/>
        </w:rPr>
      </w:pPr>
      <w:r w:rsidRPr="009E2E24">
        <w:rPr>
          <w:rFonts w:ascii="Times New Roman" w:hAnsi="Times New Roman" w:cs="Times New Roman"/>
          <w:color w:val="212121"/>
          <w:sz w:val="20"/>
          <w:szCs w:val="20"/>
          <w:shd w:val="clear" w:color="auto" w:fill="FFFFFF"/>
        </w:rPr>
        <w:lastRenderedPageBreak/>
        <w:t xml:space="preserve">Olfson M, Ascher-Svanum H, Faries DE, Marcus SC. Predicting psychiatric hospital admission among adults with schizophrenia. </w:t>
      </w:r>
      <w:r w:rsidRPr="009E2E24">
        <w:rPr>
          <w:rFonts w:ascii="Times New Roman" w:hAnsi="Times New Roman" w:cs="Times New Roman"/>
          <w:i/>
          <w:color w:val="212121"/>
          <w:sz w:val="20"/>
          <w:szCs w:val="20"/>
          <w:shd w:val="clear" w:color="auto" w:fill="FFFFFF"/>
        </w:rPr>
        <w:t>Psychiatr Serv.</w:t>
      </w:r>
      <w:r>
        <w:rPr>
          <w:rFonts w:ascii="Times New Roman" w:hAnsi="Times New Roman" w:cs="Times New Roman"/>
          <w:color w:val="212121"/>
          <w:sz w:val="20"/>
          <w:szCs w:val="20"/>
          <w:shd w:val="clear" w:color="auto" w:fill="FFFFFF"/>
        </w:rPr>
        <w:t xml:space="preserve"> 2011 Oct;62(10):1138-45</w:t>
      </w:r>
    </w:p>
    <w:p w14:paraId="0D6856BB" w14:textId="66EAB3B1" w:rsidR="00696A70" w:rsidRPr="0089336D" w:rsidRDefault="00696A70" w:rsidP="00734987">
      <w:pPr>
        <w:jc w:val="both"/>
        <w:rPr>
          <w:rFonts w:ascii="Times New Roman" w:hAnsi="Times New Roman" w:cs="Times New Roman"/>
          <w:sz w:val="20"/>
          <w:szCs w:val="20"/>
        </w:rPr>
      </w:pPr>
    </w:p>
    <w:p w14:paraId="05DADA96" w14:textId="407296CF" w:rsidR="007D1031" w:rsidRPr="009E2E24" w:rsidRDefault="007D1031" w:rsidP="00734987">
      <w:pPr>
        <w:jc w:val="both"/>
        <w:rPr>
          <w:rFonts w:ascii="Times New Roman" w:hAnsi="Times New Roman" w:cs="Times New Roman"/>
          <w:b/>
          <w:iCs/>
          <w:sz w:val="20"/>
          <w:szCs w:val="20"/>
        </w:rPr>
      </w:pPr>
      <w:r w:rsidRPr="009E2E24">
        <w:rPr>
          <w:rFonts w:ascii="Times New Roman" w:hAnsi="Times New Roman" w:cs="Times New Roman"/>
          <w:b/>
          <w:sz w:val="20"/>
          <w:szCs w:val="20"/>
        </w:rPr>
        <w:t xml:space="preserve">Table 1 </w:t>
      </w:r>
      <w:r w:rsidRPr="00D94DE3">
        <w:rPr>
          <w:rFonts w:ascii="Times New Roman" w:hAnsi="Times New Roman" w:cs="Times New Roman"/>
          <w:sz w:val="20"/>
          <w:szCs w:val="20"/>
        </w:rPr>
        <w:t>Demographical and clinical characteristics</w:t>
      </w:r>
      <w:r w:rsidR="00FC2C64" w:rsidRPr="00D94DE3">
        <w:rPr>
          <w:rFonts w:ascii="Times New Roman" w:hAnsi="Times New Roman" w:cs="Times New Roman"/>
          <w:sz w:val="20"/>
          <w:szCs w:val="20"/>
        </w:rPr>
        <w:t xml:space="preserve"> for the all patient group, schizophrenia group and those with other diagnoses</w:t>
      </w:r>
      <w:r w:rsidR="00FC2C64" w:rsidRPr="009E2E24">
        <w:rPr>
          <w:rFonts w:ascii="Times New Roman" w:hAnsi="Times New Roman" w:cs="Times New Roman"/>
          <w:sz w:val="20"/>
          <w:szCs w:val="20"/>
          <w:vertAlign w:val="superscript"/>
        </w:rPr>
        <w:t>a</w:t>
      </w:r>
      <w:r w:rsidR="00FC2C64" w:rsidRPr="00D94DE3">
        <w:rPr>
          <w:rFonts w:ascii="Times New Roman" w:hAnsi="Times New Roman" w:cs="Times New Roman"/>
          <w:sz w:val="20"/>
          <w:szCs w:val="20"/>
        </w:rPr>
        <w:t>.</w:t>
      </w:r>
      <w:r w:rsidR="00FC2C64" w:rsidRPr="009E2E24">
        <w:rPr>
          <w:rFonts w:ascii="Times New Roman" w:hAnsi="Times New Roman" w:cs="Times New Roman"/>
          <w:b/>
          <w:sz w:val="20"/>
          <w:szCs w:val="20"/>
        </w:rPr>
        <w:t xml:space="preserve"> </w:t>
      </w:r>
    </w:p>
    <w:tbl>
      <w:tblPr>
        <w:tblStyle w:val="ListTable4"/>
        <w:tblW w:w="9242" w:type="dxa"/>
        <w:tblLook w:val="04A0" w:firstRow="1" w:lastRow="0" w:firstColumn="1" w:lastColumn="0" w:noHBand="0" w:noVBand="1"/>
      </w:tblPr>
      <w:tblGrid>
        <w:gridCol w:w="2943"/>
        <w:gridCol w:w="2127"/>
        <w:gridCol w:w="2162"/>
        <w:gridCol w:w="2010"/>
      </w:tblGrid>
      <w:tr w:rsidR="007D1031" w:rsidRPr="00F2629E" w14:paraId="44479910" w14:textId="77777777" w:rsidTr="009E2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38006E48"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Characteristics</w:t>
            </w:r>
          </w:p>
        </w:tc>
        <w:tc>
          <w:tcPr>
            <w:tcW w:w="2127" w:type="dxa"/>
            <w:shd w:val="clear" w:color="auto" w:fill="FFFFFF" w:themeFill="background1"/>
          </w:tcPr>
          <w:p w14:paraId="79E54F31" w14:textId="77EE150F" w:rsidR="00FC2C64" w:rsidRDefault="00FC2C64"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All patient group</w:t>
            </w:r>
          </w:p>
          <w:p w14:paraId="4D8AFFB5" w14:textId="794D40AE" w:rsidR="007D1031" w:rsidRPr="0089336D" w:rsidRDefault="004A57F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n</w:t>
            </w:r>
            <w:r w:rsidR="007D1031" w:rsidRPr="0089336D">
              <w:rPr>
                <w:rFonts w:ascii="Times New Roman" w:hAnsi="Times New Roman" w:cs="Times New Roman"/>
                <w:iCs/>
                <w:color w:val="000000" w:themeColor="text1"/>
                <w:sz w:val="20"/>
                <w:szCs w:val="20"/>
              </w:rPr>
              <w:t>= 167 (%)</w:t>
            </w:r>
          </w:p>
        </w:tc>
        <w:tc>
          <w:tcPr>
            <w:tcW w:w="2162" w:type="dxa"/>
            <w:shd w:val="clear" w:color="auto" w:fill="FFFFFF" w:themeFill="background1"/>
          </w:tcPr>
          <w:p w14:paraId="6880B22C"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Schizophrenia</w:t>
            </w:r>
          </w:p>
          <w:p w14:paraId="2C401FA5" w14:textId="77777777" w:rsidR="007D1031" w:rsidRPr="0089336D"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n= 117 (%)</w:t>
            </w:r>
          </w:p>
        </w:tc>
        <w:tc>
          <w:tcPr>
            <w:tcW w:w="2010" w:type="dxa"/>
            <w:shd w:val="clear" w:color="auto" w:fill="FFFFFF" w:themeFill="background1"/>
          </w:tcPr>
          <w:p w14:paraId="330AD8BB"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Other diagnoses </w:t>
            </w:r>
          </w:p>
          <w:p w14:paraId="422944F7"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n= 50 (%)</w:t>
            </w:r>
          </w:p>
        </w:tc>
      </w:tr>
      <w:tr w:rsidR="007D1031" w:rsidRPr="00F2629E" w14:paraId="083D0649" w14:textId="77777777" w:rsidTr="009E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09C7D2C8" w14:textId="7482B0C0"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Sex</w:t>
            </w:r>
          </w:p>
          <w:p w14:paraId="51EDFF92"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Male</w:t>
            </w:r>
          </w:p>
          <w:p w14:paraId="327277BB"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Female</w:t>
            </w:r>
          </w:p>
        </w:tc>
        <w:tc>
          <w:tcPr>
            <w:tcW w:w="2127" w:type="dxa"/>
            <w:shd w:val="clear" w:color="auto" w:fill="FFFFFF" w:themeFill="background1"/>
          </w:tcPr>
          <w:p w14:paraId="6C6805CA"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6DB313CF"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110 (65.9)</w:t>
            </w:r>
          </w:p>
          <w:p w14:paraId="0A0BEF1A"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57 (34.1)</w:t>
            </w:r>
          </w:p>
        </w:tc>
        <w:tc>
          <w:tcPr>
            <w:tcW w:w="2162" w:type="dxa"/>
            <w:shd w:val="clear" w:color="auto" w:fill="FFFFFF" w:themeFill="background1"/>
          </w:tcPr>
          <w:p w14:paraId="06E07883"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6C7BF8AD"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76 (65.0)</w:t>
            </w:r>
          </w:p>
          <w:p w14:paraId="6B0002CD"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41 (35.0)</w:t>
            </w:r>
          </w:p>
        </w:tc>
        <w:tc>
          <w:tcPr>
            <w:tcW w:w="2010" w:type="dxa"/>
            <w:shd w:val="clear" w:color="auto" w:fill="FFFFFF" w:themeFill="background1"/>
          </w:tcPr>
          <w:p w14:paraId="7A785959"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7608944E"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34 (68)</w:t>
            </w:r>
          </w:p>
          <w:p w14:paraId="422E609C"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16 (32)</w:t>
            </w:r>
          </w:p>
        </w:tc>
      </w:tr>
      <w:tr w:rsidR="007D1031" w:rsidRPr="00F2629E" w14:paraId="6B8DEC2A" w14:textId="77777777" w:rsidTr="009E2E24">
        <w:trPr>
          <w:trHeight w:val="521"/>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2826C82E"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Age</w:t>
            </w:r>
          </w:p>
          <w:p w14:paraId="72DA663F"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 xml:space="preserve">Mean (SD), range </w:t>
            </w:r>
          </w:p>
        </w:tc>
        <w:tc>
          <w:tcPr>
            <w:tcW w:w="2127" w:type="dxa"/>
            <w:shd w:val="clear" w:color="auto" w:fill="FFFFFF" w:themeFill="background1"/>
          </w:tcPr>
          <w:p w14:paraId="3F91816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C1E832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46.4 (15.9), 21-97</w:t>
            </w:r>
          </w:p>
        </w:tc>
        <w:tc>
          <w:tcPr>
            <w:tcW w:w="2162" w:type="dxa"/>
            <w:shd w:val="clear" w:color="auto" w:fill="FFFFFF" w:themeFill="background1"/>
          </w:tcPr>
          <w:p w14:paraId="499AE34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60E391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46.67 (14.67), 21-75</w:t>
            </w:r>
          </w:p>
        </w:tc>
        <w:tc>
          <w:tcPr>
            <w:tcW w:w="2010" w:type="dxa"/>
            <w:shd w:val="clear" w:color="auto" w:fill="FFFFFF" w:themeFill="background1"/>
          </w:tcPr>
          <w:p w14:paraId="7AB2065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1AA94A2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45.7 (18.73), 22-97</w:t>
            </w:r>
          </w:p>
        </w:tc>
      </w:tr>
      <w:tr w:rsidR="007D1031" w:rsidRPr="00F2629E" w14:paraId="5297A5FF" w14:textId="77777777" w:rsidTr="009E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3EAA0417"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Ethnicity</w:t>
            </w:r>
          </w:p>
          <w:p w14:paraId="1B6BB183"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White </w:t>
            </w:r>
          </w:p>
          <w:p w14:paraId="0D85A930"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Black </w:t>
            </w:r>
          </w:p>
          <w:p w14:paraId="5BB84B8F"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Other</w:t>
            </w:r>
          </w:p>
        </w:tc>
        <w:tc>
          <w:tcPr>
            <w:tcW w:w="2127" w:type="dxa"/>
            <w:shd w:val="clear" w:color="auto" w:fill="FFFFFF" w:themeFill="background1"/>
          </w:tcPr>
          <w:p w14:paraId="4837A4D6"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19BB7133"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65 (38.9)</w:t>
            </w:r>
          </w:p>
          <w:p w14:paraId="46F261A2"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54 (32.3)</w:t>
            </w:r>
          </w:p>
          <w:p w14:paraId="5B984EDA"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48 (28.8)</w:t>
            </w:r>
          </w:p>
        </w:tc>
        <w:tc>
          <w:tcPr>
            <w:tcW w:w="2162" w:type="dxa"/>
            <w:shd w:val="clear" w:color="auto" w:fill="FFFFFF" w:themeFill="background1"/>
          </w:tcPr>
          <w:p w14:paraId="7D15FA93"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4F3AE37F"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47 (40.2)</w:t>
            </w:r>
          </w:p>
          <w:p w14:paraId="21364FFD"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41 (35.0)</w:t>
            </w:r>
          </w:p>
          <w:p w14:paraId="3BA75003"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29 (25.8)</w:t>
            </w:r>
          </w:p>
        </w:tc>
        <w:tc>
          <w:tcPr>
            <w:tcW w:w="2010" w:type="dxa"/>
            <w:shd w:val="clear" w:color="auto" w:fill="FFFFFF" w:themeFill="background1"/>
          </w:tcPr>
          <w:p w14:paraId="1CB55849"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7408B026"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18 (36.0)</w:t>
            </w:r>
          </w:p>
          <w:p w14:paraId="0C5A9486"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13 (26.0)</w:t>
            </w:r>
          </w:p>
          <w:p w14:paraId="0A008FC1"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(38.0)</w:t>
            </w:r>
          </w:p>
        </w:tc>
      </w:tr>
      <w:tr w:rsidR="007D1031" w:rsidRPr="00F2629E" w14:paraId="3D351199" w14:textId="77777777" w:rsidTr="009E2E24">
        <w:trPr>
          <w:trHeight w:val="713"/>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1EC7FB09"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Primary diagnosis</w:t>
            </w:r>
          </w:p>
          <w:p w14:paraId="78F6421C" w14:textId="77777777" w:rsidR="007D1031" w:rsidRPr="0089336D" w:rsidRDefault="007D1031" w:rsidP="007D1031">
            <w:pPr>
              <w:rPr>
                <w:rFonts w:ascii="Times New Roman" w:hAnsi="Times New Roman" w:cs="Times New Roman"/>
                <w:b w:val="0"/>
                <w:bCs w:val="0"/>
                <w:iCs/>
                <w:sz w:val="20"/>
                <w:szCs w:val="20"/>
              </w:rPr>
            </w:pPr>
            <w:r w:rsidRPr="0089336D">
              <w:rPr>
                <w:rFonts w:ascii="Times New Roman" w:hAnsi="Times New Roman" w:cs="Times New Roman"/>
                <w:iCs/>
                <w:sz w:val="20"/>
                <w:szCs w:val="20"/>
              </w:rPr>
              <w:t>Schizophrenia</w:t>
            </w:r>
          </w:p>
          <w:p w14:paraId="1A533512" w14:textId="77777777" w:rsidR="007D1031" w:rsidRPr="0089336D" w:rsidRDefault="007D1031" w:rsidP="007D1031">
            <w:pPr>
              <w:rPr>
                <w:rFonts w:ascii="Times New Roman" w:hAnsi="Times New Roman" w:cs="Times New Roman"/>
                <w:b w:val="0"/>
                <w:bCs w:val="0"/>
                <w:iCs/>
                <w:sz w:val="20"/>
                <w:szCs w:val="20"/>
              </w:rPr>
            </w:pPr>
            <w:r w:rsidRPr="0089336D">
              <w:rPr>
                <w:rFonts w:ascii="Times New Roman" w:hAnsi="Times New Roman" w:cs="Times New Roman"/>
                <w:iCs/>
                <w:sz w:val="20"/>
                <w:szCs w:val="20"/>
              </w:rPr>
              <w:t>Schizoaffective disorder</w:t>
            </w:r>
          </w:p>
          <w:p w14:paraId="0527A1A0" w14:textId="77777777" w:rsidR="007D1031" w:rsidRPr="0089336D" w:rsidRDefault="007D1031" w:rsidP="007D1031">
            <w:pPr>
              <w:rPr>
                <w:rFonts w:ascii="Times New Roman" w:hAnsi="Times New Roman" w:cs="Times New Roman"/>
                <w:b w:val="0"/>
                <w:bCs w:val="0"/>
                <w:iCs/>
                <w:sz w:val="20"/>
                <w:szCs w:val="20"/>
              </w:rPr>
            </w:pPr>
            <w:r w:rsidRPr="0089336D">
              <w:rPr>
                <w:rFonts w:ascii="Times New Roman" w:hAnsi="Times New Roman" w:cs="Times New Roman"/>
                <w:iCs/>
                <w:sz w:val="20"/>
                <w:szCs w:val="20"/>
              </w:rPr>
              <w:t>Bipolar affective disorder</w:t>
            </w:r>
          </w:p>
          <w:p w14:paraId="5C701F6F" w14:textId="77777777" w:rsidR="007D1031" w:rsidRPr="0089336D" w:rsidRDefault="007D1031" w:rsidP="007D1031">
            <w:pPr>
              <w:rPr>
                <w:rFonts w:ascii="Times New Roman" w:hAnsi="Times New Roman" w:cs="Times New Roman"/>
                <w:iCs/>
                <w:sz w:val="20"/>
                <w:szCs w:val="20"/>
              </w:rPr>
            </w:pPr>
            <w:r w:rsidRPr="0089336D">
              <w:rPr>
                <w:rFonts w:ascii="Times New Roman" w:hAnsi="Times New Roman" w:cs="Times New Roman"/>
                <w:iCs/>
                <w:sz w:val="20"/>
                <w:szCs w:val="20"/>
              </w:rPr>
              <w:t>Other</w:t>
            </w:r>
          </w:p>
        </w:tc>
        <w:tc>
          <w:tcPr>
            <w:tcW w:w="2127" w:type="dxa"/>
            <w:shd w:val="clear" w:color="auto" w:fill="FFFFFF" w:themeFill="background1"/>
          </w:tcPr>
          <w:p w14:paraId="5472DAE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544101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117 (70.1)</w:t>
            </w:r>
          </w:p>
          <w:p w14:paraId="2F29B26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(11.4)</w:t>
            </w:r>
          </w:p>
          <w:p w14:paraId="6DADB27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12 (7.1)</w:t>
            </w:r>
          </w:p>
          <w:p w14:paraId="3BA38C8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(11.4)</w:t>
            </w:r>
          </w:p>
        </w:tc>
        <w:tc>
          <w:tcPr>
            <w:tcW w:w="2162" w:type="dxa"/>
            <w:shd w:val="clear" w:color="auto" w:fill="FFFFFF" w:themeFill="background1"/>
          </w:tcPr>
          <w:p w14:paraId="0C527A5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32C6C5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117 (100)</w:t>
            </w:r>
          </w:p>
        </w:tc>
        <w:tc>
          <w:tcPr>
            <w:tcW w:w="2010" w:type="dxa"/>
            <w:shd w:val="clear" w:color="auto" w:fill="FFFFFF" w:themeFill="background1"/>
          </w:tcPr>
          <w:p w14:paraId="6A46294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0AADF3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642FB7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(38.0)</w:t>
            </w:r>
          </w:p>
          <w:p w14:paraId="62B5783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12 (24.0)</w:t>
            </w:r>
          </w:p>
          <w:p w14:paraId="66D2B9F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(38.0)</w:t>
            </w:r>
          </w:p>
        </w:tc>
      </w:tr>
      <w:tr w:rsidR="007D1031" w:rsidRPr="00F2629E" w14:paraId="04750351" w14:textId="77777777" w:rsidTr="009E2E24">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37F0DE65" w14:textId="77777777" w:rsidR="007D1031" w:rsidRPr="0089336D" w:rsidRDefault="007D1031" w:rsidP="007D1031">
            <w:pPr>
              <w:rPr>
                <w:rFonts w:ascii="Times New Roman" w:hAnsi="Times New Roman" w:cs="Times New Roman"/>
                <w:b w:val="0"/>
                <w:bCs w:val="0"/>
                <w:iCs/>
                <w:sz w:val="20"/>
                <w:szCs w:val="20"/>
              </w:rPr>
            </w:pPr>
            <w:r w:rsidRPr="0089336D">
              <w:rPr>
                <w:rFonts w:ascii="Times New Roman" w:hAnsi="Times New Roman" w:cs="Times New Roman"/>
                <w:iCs/>
                <w:sz w:val="20"/>
                <w:szCs w:val="20"/>
              </w:rPr>
              <w:t>Comorbid substance misuse</w:t>
            </w:r>
          </w:p>
          <w:p w14:paraId="2E908AEE" w14:textId="77777777" w:rsidR="007D1031" w:rsidRPr="0089336D" w:rsidRDefault="007D1031" w:rsidP="007D1031">
            <w:pPr>
              <w:rPr>
                <w:rFonts w:ascii="Times New Roman" w:hAnsi="Times New Roman" w:cs="Times New Roman"/>
                <w:b w:val="0"/>
                <w:bCs w:val="0"/>
                <w:iCs/>
                <w:sz w:val="20"/>
                <w:szCs w:val="20"/>
              </w:rPr>
            </w:pPr>
            <w:r w:rsidRPr="0089336D">
              <w:rPr>
                <w:rFonts w:ascii="Times New Roman" w:hAnsi="Times New Roman" w:cs="Times New Roman"/>
                <w:iCs/>
                <w:sz w:val="20"/>
                <w:szCs w:val="20"/>
              </w:rPr>
              <w:t>Yes</w:t>
            </w:r>
          </w:p>
          <w:p w14:paraId="7A2E95D0" w14:textId="77777777" w:rsidR="007D1031" w:rsidRPr="0089336D" w:rsidRDefault="007D1031" w:rsidP="007D1031">
            <w:pPr>
              <w:rPr>
                <w:rFonts w:ascii="Times New Roman" w:hAnsi="Times New Roman" w:cs="Times New Roman"/>
                <w:iCs/>
                <w:sz w:val="20"/>
                <w:szCs w:val="20"/>
              </w:rPr>
            </w:pPr>
            <w:r w:rsidRPr="0089336D">
              <w:rPr>
                <w:rFonts w:ascii="Times New Roman" w:hAnsi="Times New Roman" w:cs="Times New Roman"/>
                <w:iCs/>
                <w:sz w:val="20"/>
                <w:szCs w:val="20"/>
              </w:rPr>
              <w:t>No</w:t>
            </w:r>
          </w:p>
        </w:tc>
        <w:tc>
          <w:tcPr>
            <w:tcW w:w="2127" w:type="dxa"/>
            <w:shd w:val="clear" w:color="auto" w:fill="FFFFFF" w:themeFill="background1"/>
          </w:tcPr>
          <w:p w14:paraId="68364618"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052BF88A"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31 (18.6)</w:t>
            </w:r>
          </w:p>
          <w:p w14:paraId="02EA763E"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136 (81.4)</w:t>
            </w:r>
          </w:p>
        </w:tc>
        <w:tc>
          <w:tcPr>
            <w:tcW w:w="2162" w:type="dxa"/>
            <w:shd w:val="clear" w:color="auto" w:fill="FFFFFF" w:themeFill="background1"/>
          </w:tcPr>
          <w:p w14:paraId="77C6CD29"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20B99748"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21 (17.9)</w:t>
            </w:r>
          </w:p>
          <w:p w14:paraId="0AED799B"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96 (82.1)</w:t>
            </w:r>
          </w:p>
        </w:tc>
        <w:tc>
          <w:tcPr>
            <w:tcW w:w="2010" w:type="dxa"/>
            <w:shd w:val="clear" w:color="auto" w:fill="FFFFFF" w:themeFill="background1"/>
          </w:tcPr>
          <w:p w14:paraId="535ED79F"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7882BDF5"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10 (20.0)</w:t>
            </w:r>
          </w:p>
          <w:p w14:paraId="4ABE5FFB"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40 (80.0)</w:t>
            </w:r>
          </w:p>
        </w:tc>
      </w:tr>
      <w:tr w:rsidR="007D1031" w:rsidRPr="00F2629E" w14:paraId="754CDECD" w14:textId="77777777" w:rsidTr="009E2E24">
        <w:trPr>
          <w:trHeight w:val="754"/>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180CF9D1"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Care Setting</w:t>
            </w:r>
          </w:p>
          <w:p w14:paraId="44D89407"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Inpatient </w:t>
            </w:r>
          </w:p>
          <w:p w14:paraId="43B3A6DC"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Outpatient</w:t>
            </w:r>
          </w:p>
        </w:tc>
        <w:tc>
          <w:tcPr>
            <w:tcW w:w="2127" w:type="dxa"/>
            <w:shd w:val="clear" w:color="auto" w:fill="FFFFFF" w:themeFill="background1"/>
          </w:tcPr>
          <w:p w14:paraId="5E15295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CE03CF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70 (41.9)</w:t>
            </w:r>
          </w:p>
          <w:p w14:paraId="718F65F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97 (58.1)</w:t>
            </w:r>
          </w:p>
        </w:tc>
        <w:tc>
          <w:tcPr>
            <w:tcW w:w="2162" w:type="dxa"/>
            <w:shd w:val="clear" w:color="auto" w:fill="FFFFFF" w:themeFill="background1"/>
          </w:tcPr>
          <w:p w14:paraId="25484C7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1A9411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46 (39.3)</w:t>
            </w:r>
          </w:p>
          <w:p w14:paraId="35324E5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71 (60.7)</w:t>
            </w:r>
          </w:p>
        </w:tc>
        <w:tc>
          <w:tcPr>
            <w:tcW w:w="2010" w:type="dxa"/>
            <w:shd w:val="clear" w:color="auto" w:fill="FFFFFF" w:themeFill="background1"/>
          </w:tcPr>
          <w:p w14:paraId="65F36027" w14:textId="77777777" w:rsidR="007D1031" w:rsidRPr="0089336D" w:rsidRDefault="007D1031" w:rsidP="007D10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4BC9322" w14:textId="77777777" w:rsidR="007D1031" w:rsidRPr="0089336D" w:rsidRDefault="007D1031" w:rsidP="007D10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24 (48.0)</w:t>
            </w:r>
          </w:p>
          <w:p w14:paraId="11654676" w14:textId="77777777" w:rsidR="007D1031" w:rsidRPr="0089336D" w:rsidRDefault="007D1031" w:rsidP="007D10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26 (52.0)</w:t>
            </w:r>
          </w:p>
        </w:tc>
      </w:tr>
      <w:tr w:rsidR="007D1031" w:rsidRPr="00F2629E" w14:paraId="494E8181" w14:textId="77777777" w:rsidTr="009E2E24">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210C58AF"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No. previous admissions</w:t>
            </w:r>
          </w:p>
          <w:p w14:paraId="71B2EEF0"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color w:val="000000" w:themeColor="text1"/>
                <w:sz w:val="20"/>
                <w:szCs w:val="20"/>
              </w:rPr>
              <w:t>Mean (SD), range</w:t>
            </w:r>
          </w:p>
        </w:tc>
        <w:tc>
          <w:tcPr>
            <w:tcW w:w="2127" w:type="dxa"/>
            <w:shd w:val="clear" w:color="auto" w:fill="FFFFFF" w:themeFill="background1"/>
          </w:tcPr>
          <w:p w14:paraId="78856452"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306696CD"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3.81 (4.32) 0-31</w:t>
            </w:r>
          </w:p>
        </w:tc>
        <w:tc>
          <w:tcPr>
            <w:tcW w:w="2162" w:type="dxa"/>
            <w:shd w:val="clear" w:color="auto" w:fill="FFFFFF" w:themeFill="background1"/>
          </w:tcPr>
          <w:p w14:paraId="6AB3F76F" w14:textId="77777777" w:rsidR="007D1031" w:rsidRPr="0089336D" w:rsidRDefault="007D1031" w:rsidP="007D10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152849AC" w14:textId="77777777" w:rsidR="007D1031" w:rsidRPr="0089336D" w:rsidRDefault="007D1031" w:rsidP="007D10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3.54 (3.7) 0-23</w:t>
            </w:r>
          </w:p>
        </w:tc>
        <w:tc>
          <w:tcPr>
            <w:tcW w:w="2010" w:type="dxa"/>
            <w:shd w:val="clear" w:color="auto" w:fill="FFFFFF" w:themeFill="background1"/>
          </w:tcPr>
          <w:p w14:paraId="459F17FC" w14:textId="77777777" w:rsidR="007D1031" w:rsidRPr="0089336D" w:rsidRDefault="007D1031" w:rsidP="007D10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036809D9" w14:textId="77777777" w:rsidR="007D1031" w:rsidRPr="0089336D" w:rsidRDefault="007D1031" w:rsidP="007D103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4.4 (5.47) 0-31</w:t>
            </w:r>
          </w:p>
        </w:tc>
      </w:tr>
      <w:tr w:rsidR="007D1031" w:rsidRPr="00F2629E" w14:paraId="352EE067"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63CB0A20"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Antipsychotic switched from</w:t>
            </w:r>
          </w:p>
          <w:p w14:paraId="7F506CC6"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Oral Risperidone</w:t>
            </w:r>
          </w:p>
          <w:p w14:paraId="4B69F17F"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Oral other</w:t>
            </w:r>
          </w:p>
          <w:p w14:paraId="3A6281DC"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LAI Risperidone</w:t>
            </w:r>
          </w:p>
          <w:p w14:paraId="701C9DE6"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Depot/LAI Other</w:t>
            </w:r>
          </w:p>
        </w:tc>
        <w:tc>
          <w:tcPr>
            <w:tcW w:w="2127" w:type="dxa"/>
            <w:shd w:val="clear" w:color="auto" w:fill="FFFFFF" w:themeFill="background1"/>
          </w:tcPr>
          <w:p w14:paraId="14E27D9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FF9A9A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34 (20.4)</w:t>
            </w:r>
          </w:p>
          <w:p w14:paraId="37EE5FA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48 (28.7)</w:t>
            </w:r>
          </w:p>
          <w:p w14:paraId="4ED890C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42 (25.1)</w:t>
            </w:r>
          </w:p>
          <w:p w14:paraId="653675C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43 (25.8)</w:t>
            </w:r>
          </w:p>
        </w:tc>
        <w:tc>
          <w:tcPr>
            <w:tcW w:w="2162" w:type="dxa"/>
            <w:shd w:val="clear" w:color="auto" w:fill="FFFFFF" w:themeFill="background1"/>
          </w:tcPr>
          <w:p w14:paraId="75517DE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257F79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20 (17.1)</w:t>
            </w:r>
          </w:p>
          <w:p w14:paraId="13C2FCB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27 (23.1)</w:t>
            </w:r>
          </w:p>
          <w:p w14:paraId="3A6567D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33 (28.2)</w:t>
            </w:r>
          </w:p>
          <w:p w14:paraId="5F4DBD3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37 (31.6)</w:t>
            </w:r>
          </w:p>
        </w:tc>
        <w:tc>
          <w:tcPr>
            <w:tcW w:w="2010" w:type="dxa"/>
            <w:shd w:val="clear" w:color="auto" w:fill="FFFFFF" w:themeFill="background1"/>
          </w:tcPr>
          <w:p w14:paraId="446172A0"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977371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14 (28.0)</w:t>
            </w:r>
          </w:p>
          <w:p w14:paraId="1D888A4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21 (42.0)</w:t>
            </w:r>
          </w:p>
          <w:p w14:paraId="1A2E80D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9 (18.0)</w:t>
            </w:r>
          </w:p>
          <w:p w14:paraId="051296C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 (12.0)</w:t>
            </w:r>
          </w:p>
        </w:tc>
      </w:tr>
      <w:tr w:rsidR="007D1031" w:rsidRPr="00F2629E" w14:paraId="643C607D" w14:textId="77777777" w:rsidTr="009E2E24">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943" w:type="dxa"/>
            <w:shd w:val="clear" w:color="auto" w:fill="FFFFFF" w:themeFill="background1"/>
          </w:tcPr>
          <w:p w14:paraId="6263AB47" w14:textId="77777777" w:rsidR="007D1031" w:rsidRPr="0089336D" w:rsidRDefault="007D1031" w:rsidP="007D1031">
            <w:pPr>
              <w:rPr>
                <w:rFonts w:ascii="Times New Roman" w:hAnsi="Times New Roman" w:cs="Times New Roman"/>
                <w:iCs/>
                <w:sz w:val="20"/>
                <w:szCs w:val="20"/>
              </w:rPr>
            </w:pPr>
            <w:r w:rsidRPr="0089336D">
              <w:rPr>
                <w:rFonts w:ascii="Times New Roman" w:hAnsi="Times New Roman" w:cs="Times New Roman"/>
                <w:iCs/>
                <w:sz w:val="20"/>
                <w:szCs w:val="20"/>
              </w:rPr>
              <w:t>Reason for switching from previous medication</w:t>
            </w:r>
          </w:p>
          <w:p w14:paraId="24AEB729" w14:textId="525DDABA"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Poor </w:t>
            </w:r>
            <w:r w:rsidR="008F59FF" w:rsidRPr="0089336D">
              <w:rPr>
                <w:rFonts w:ascii="Times New Roman" w:hAnsi="Times New Roman" w:cs="Times New Roman"/>
                <w:iCs/>
                <w:sz w:val="20"/>
                <w:szCs w:val="20"/>
              </w:rPr>
              <w:t xml:space="preserve">adherence </w:t>
            </w:r>
          </w:p>
          <w:p w14:paraId="5DB556BE"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Poor tolerability </w:t>
            </w:r>
          </w:p>
          <w:p w14:paraId="10CD8F5E"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 xml:space="preserve">Ineffectiveness </w:t>
            </w:r>
          </w:p>
          <w:p w14:paraId="3901C28B" w14:textId="77777777" w:rsidR="007D1031" w:rsidRPr="0089336D" w:rsidRDefault="007D1031" w:rsidP="007D1031">
            <w:pPr>
              <w:jc w:val="both"/>
              <w:rPr>
                <w:rFonts w:ascii="Times New Roman" w:hAnsi="Times New Roman" w:cs="Times New Roman"/>
                <w:b w:val="0"/>
                <w:bCs w:val="0"/>
                <w:iCs/>
                <w:sz w:val="20"/>
                <w:szCs w:val="20"/>
              </w:rPr>
            </w:pPr>
            <w:r w:rsidRPr="0089336D">
              <w:rPr>
                <w:rFonts w:ascii="Times New Roman" w:hAnsi="Times New Roman" w:cs="Times New Roman"/>
                <w:iCs/>
                <w:sz w:val="20"/>
                <w:szCs w:val="20"/>
              </w:rPr>
              <w:t>Patient preference/choice</w:t>
            </w:r>
          </w:p>
          <w:p w14:paraId="13912D95" w14:textId="77777777" w:rsidR="007D1031" w:rsidRPr="0089336D" w:rsidRDefault="007D1031" w:rsidP="007D1031">
            <w:pPr>
              <w:jc w:val="both"/>
              <w:rPr>
                <w:rFonts w:ascii="Times New Roman" w:hAnsi="Times New Roman" w:cs="Times New Roman"/>
                <w:iCs/>
                <w:sz w:val="20"/>
                <w:szCs w:val="20"/>
              </w:rPr>
            </w:pPr>
            <w:r w:rsidRPr="0089336D">
              <w:rPr>
                <w:rFonts w:ascii="Times New Roman" w:hAnsi="Times New Roman" w:cs="Times New Roman"/>
                <w:iCs/>
                <w:sz w:val="20"/>
                <w:szCs w:val="20"/>
              </w:rPr>
              <w:t>Other</w:t>
            </w:r>
          </w:p>
        </w:tc>
        <w:tc>
          <w:tcPr>
            <w:tcW w:w="2127" w:type="dxa"/>
            <w:shd w:val="clear" w:color="auto" w:fill="FFFFFF" w:themeFill="background1"/>
          </w:tcPr>
          <w:p w14:paraId="438E73DC"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4AFFAABE"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4D462379"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71 (42.5)</w:t>
            </w:r>
          </w:p>
          <w:p w14:paraId="16CBBABE"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29 (17.4)</w:t>
            </w:r>
          </w:p>
          <w:p w14:paraId="20C7C013"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21 (13.9)</w:t>
            </w:r>
          </w:p>
          <w:p w14:paraId="2A206375"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24 (14.4)</w:t>
            </w:r>
          </w:p>
          <w:p w14:paraId="37944F14"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22 (13.2)</w:t>
            </w:r>
          </w:p>
        </w:tc>
        <w:tc>
          <w:tcPr>
            <w:tcW w:w="2162" w:type="dxa"/>
            <w:shd w:val="clear" w:color="auto" w:fill="FFFFFF" w:themeFill="background1"/>
          </w:tcPr>
          <w:p w14:paraId="4FAA885C"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5C3DFFF2"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5190CE8A"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49 (41.8)</w:t>
            </w:r>
          </w:p>
          <w:p w14:paraId="3B5065FD"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22 (18.8)</w:t>
            </w:r>
          </w:p>
          <w:p w14:paraId="16657D4B"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16 (13.7)</w:t>
            </w:r>
          </w:p>
          <w:p w14:paraId="4E846CAE"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18 (15.4)</w:t>
            </w:r>
          </w:p>
          <w:p w14:paraId="494A1F29"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12 (10.3)</w:t>
            </w:r>
          </w:p>
        </w:tc>
        <w:tc>
          <w:tcPr>
            <w:tcW w:w="2010" w:type="dxa"/>
            <w:shd w:val="clear" w:color="auto" w:fill="FFFFFF" w:themeFill="background1"/>
          </w:tcPr>
          <w:p w14:paraId="3B9A3A77"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26C1C784"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p>
          <w:p w14:paraId="730FD616"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22 (44.0)</w:t>
            </w:r>
          </w:p>
          <w:p w14:paraId="4195009B"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7 (14.0)</w:t>
            </w:r>
          </w:p>
          <w:p w14:paraId="0C450278"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 (10.0)</w:t>
            </w:r>
          </w:p>
          <w:p w14:paraId="4E7C65FF"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 (12.0)</w:t>
            </w:r>
          </w:p>
          <w:p w14:paraId="1561CE84" w14:textId="77777777" w:rsidR="007D1031" w:rsidRPr="0089336D" w:rsidRDefault="007D1031" w:rsidP="007D103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10 (20.0)</w:t>
            </w:r>
          </w:p>
        </w:tc>
      </w:tr>
    </w:tbl>
    <w:p w14:paraId="59F67A71" w14:textId="77777777" w:rsidR="00A920F7" w:rsidRPr="0089336D" w:rsidRDefault="00A920F7" w:rsidP="00734987">
      <w:pPr>
        <w:spacing w:line="240" w:lineRule="auto"/>
        <w:jc w:val="both"/>
        <w:rPr>
          <w:rFonts w:ascii="Times New Roman" w:hAnsi="Times New Roman" w:cs="Times New Roman"/>
          <w:iCs/>
          <w:sz w:val="20"/>
          <w:szCs w:val="20"/>
        </w:rPr>
      </w:pPr>
    </w:p>
    <w:p w14:paraId="18989AFA" w14:textId="4ED5F9D6" w:rsidR="007D1031" w:rsidRDefault="004A57F9" w:rsidP="00734987">
      <w:pPr>
        <w:spacing w:line="240" w:lineRule="auto"/>
        <w:jc w:val="both"/>
        <w:rPr>
          <w:rFonts w:ascii="Times New Roman" w:hAnsi="Times New Roman" w:cs="Times New Roman"/>
          <w:iCs/>
          <w:sz w:val="20"/>
          <w:szCs w:val="20"/>
        </w:rPr>
      </w:pPr>
      <w:r w:rsidRPr="0089336D">
        <w:rPr>
          <w:rFonts w:ascii="Times New Roman" w:hAnsi="Times New Roman" w:cs="Times New Roman"/>
          <w:iCs/>
          <w:sz w:val="20"/>
          <w:szCs w:val="20"/>
        </w:rPr>
        <w:t>LAI Long Acting Injectable</w:t>
      </w:r>
      <w:r w:rsidR="00FC2C64">
        <w:rPr>
          <w:rFonts w:ascii="Times New Roman" w:hAnsi="Times New Roman" w:cs="Times New Roman"/>
          <w:iCs/>
          <w:sz w:val="20"/>
          <w:szCs w:val="20"/>
        </w:rPr>
        <w:t xml:space="preserve">, </w:t>
      </w:r>
      <w:r w:rsidR="007D1031" w:rsidRPr="0089336D">
        <w:rPr>
          <w:rFonts w:ascii="Times New Roman" w:hAnsi="Times New Roman" w:cs="Times New Roman"/>
          <w:iCs/>
          <w:sz w:val="20"/>
          <w:szCs w:val="20"/>
        </w:rPr>
        <w:t>SD Standard Deviation</w:t>
      </w:r>
    </w:p>
    <w:p w14:paraId="7381EB64" w14:textId="7B639C03" w:rsidR="00FC2C64" w:rsidRPr="009E2E24" w:rsidRDefault="00D94DE3" w:rsidP="009E2E24">
      <w:pPr>
        <w:pStyle w:val="ListParagraph"/>
        <w:numPr>
          <w:ilvl w:val="0"/>
          <w:numId w:val="16"/>
        </w:numPr>
        <w:spacing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Data is presented as a table showing demographical and clinical characteristics according to diagnosis. </w:t>
      </w:r>
    </w:p>
    <w:p w14:paraId="2F3BEC4D" w14:textId="7EC45BF6" w:rsidR="0089336D" w:rsidRDefault="0089336D" w:rsidP="00734987">
      <w:pPr>
        <w:jc w:val="both"/>
        <w:rPr>
          <w:rStyle w:val="Heading2Char"/>
          <w:rFonts w:ascii="Times New Roman" w:hAnsi="Times New Roman" w:cs="Times New Roman"/>
          <w:sz w:val="20"/>
          <w:szCs w:val="20"/>
        </w:rPr>
      </w:pPr>
    </w:p>
    <w:p w14:paraId="4E08DAA9" w14:textId="39B27975" w:rsidR="009E2E24" w:rsidRDefault="009E2E24" w:rsidP="00734987">
      <w:pPr>
        <w:jc w:val="both"/>
        <w:rPr>
          <w:rStyle w:val="Heading2Char"/>
          <w:rFonts w:ascii="Times New Roman" w:hAnsi="Times New Roman" w:cs="Times New Roman"/>
          <w:sz w:val="20"/>
          <w:szCs w:val="20"/>
        </w:rPr>
      </w:pPr>
    </w:p>
    <w:p w14:paraId="0EEA6249" w14:textId="3811C2C0" w:rsidR="009E2E24" w:rsidRDefault="009E2E24" w:rsidP="00734987">
      <w:pPr>
        <w:jc w:val="both"/>
        <w:rPr>
          <w:rStyle w:val="Heading2Char"/>
          <w:rFonts w:ascii="Times New Roman" w:hAnsi="Times New Roman" w:cs="Times New Roman"/>
          <w:sz w:val="20"/>
          <w:szCs w:val="20"/>
        </w:rPr>
      </w:pPr>
    </w:p>
    <w:p w14:paraId="1C691732" w14:textId="3E4ED5F6" w:rsidR="009E2E24" w:rsidRDefault="009E2E24" w:rsidP="00734987">
      <w:pPr>
        <w:jc w:val="both"/>
        <w:rPr>
          <w:rStyle w:val="Heading2Char"/>
          <w:rFonts w:ascii="Times New Roman" w:hAnsi="Times New Roman" w:cs="Times New Roman"/>
          <w:sz w:val="20"/>
          <w:szCs w:val="20"/>
        </w:rPr>
      </w:pPr>
    </w:p>
    <w:p w14:paraId="717325C4" w14:textId="77777777" w:rsidR="009E2E24" w:rsidRDefault="009E2E24" w:rsidP="00734987">
      <w:pPr>
        <w:jc w:val="both"/>
        <w:rPr>
          <w:rStyle w:val="Heading2Char"/>
          <w:rFonts w:ascii="Times New Roman" w:hAnsi="Times New Roman" w:cs="Times New Roman"/>
          <w:sz w:val="20"/>
          <w:szCs w:val="20"/>
        </w:rPr>
      </w:pPr>
    </w:p>
    <w:p w14:paraId="0DA9D645" w14:textId="1049B83E" w:rsidR="007D1031" w:rsidRPr="009E2E24" w:rsidRDefault="007D1031" w:rsidP="00734987">
      <w:pPr>
        <w:jc w:val="both"/>
        <w:rPr>
          <w:rFonts w:ascii="Times New Roman" w:hAnsi="Times New Roman" w:cs="Times New Roman"/>
          <w:b/>
          <w:iCs/>
          <w:color w:val="000000" w:themeColor="text1"/>
          <w:sz w:val="20"/>
          <w:szCs w:val="20"/>
        </w:rPr>
      </w:pPr>
      <w:r w:rsidRPr="009E2E24">
        <w:rPr>
          <w:rStyle w:val="Heading2Char"/>
          <w:rFonts w:ascii="Times New Roman" w:hAnsi="Times New Roman" w:cs="Times New Roman"/>
          <w:b/>
          <w:color w:val="000000" w:themeColor="text1"/>
          <w:sz w:val="20"/>
          <w:szCs w:val="20"/>
        </w:rPr>
        <w:lastRenderedPageBreak/>
        <w:t xml:space="preserve">Table 2 </w:t>
      </w:r>
      <w:r w:rsidR="00EC7CD6" w:rsidRPr="009E2E24">
        <w:rPr>
          <w:rStyle w:val="Heading2Char"/>
          <w:rFonts w:ascii="Times New Roman" w:hAnsi="Times New Roman" w:cs="Times New Roman"/>
          <w:color w:val="000000" w:themeColor="text1"/>
          <w:sz w:val="20"/>
          <w:szCs w:val="20"/>
        </w:rPr>
        <w:t>C</w:t>
      </w:r>
      <w:r w:rsidRPr="009E2E24">
        <w:rPr>
          <w:rStyle w:val="Heading2Char"/>
          <w:rFonts w:ascii="Times New Roman" w:hAnsi="Times New Roman" w:cs="Times New Roman"/>
          <w:color w:val="000000" w:themeColor="text1"/>
          <w:sz w:val="20"/>
          <w:szCs w:val="20"/>
        </w:rPr>
        <w:t xml:space="preserve">ontinuation rates </w:t>
      </w:r>
      <w:r w:rsidR="00D94DE3" w:rsidRPr="009E2E24">
        <w:rPr>
          <w:rStyle w:val="Heading2Char"/>
          <w:rFonts w:ascii="Times New Roman" w:hAnsi="Times New Roman" w:cs="Times New Roman"/>
          <w:color w:val="000000" w:themeColor="text1"/>
          <w:sz w:val="20"/>
          <w:szCs w:val="20"/>
        </w:rPr>
        <w:t>according to diagnostic group</w:t>
      </w:r>
      <w:r w:rsidR="00D94DE3" w:rsidRPr="009E2E24">
        <w:rPr>
          <w:rStyle w:val="Heading2Char"/>
          <w:rFonts w:ascii="Times New Roman" w:hAnsi="Times New Roman" w:cs="Times New Roman"/>
          <w:color w:val="000000" w:themeColor="text1"/>
          <w:sz w:val="20"/>
          <w:szCs w:val="20"/>
          <w:vertAlign w:val="superscript"/>
        </w:rPr>
        <w:t>b</w:t>
      </w:r>
    </w:p>
    <w:tbl>
      <w:tblPr>
        <w:tblStyle w:val="GridTable1Light"/>
        <w:tblW w:w="9493" w:type="dxa"/>
        <w:tblLook w:val="04A0" w:firstRow="1" w:lastRow="0" w:firstColumn="1" w:lastColumn="0" w:noHBand="0" w:noVBand="1"/>
      </w:tblPr>
      <w:tblGrid>
        <w:gridCol w:w="1667"/>
        <w:gridCol w:w="1470"/>
        <w:gridCol w:w="1470"/>
        <w:gridCol w:w="1471"/>
        <w:gridCol w:w="1471"/>
        <w:gridCol w:w="1944"/>
      </w:tblGrid>
      <w:tr w:rsidR="007D1031" w:rsidRPr="00F2629E" w14:paraId="678A8113" w14:textId="77777777" w:rsidTr="009E2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tcPr>
          <w:p w14:paraId="478DBBA8" w14:textId="089E0F84" w:rsidR="007D1031" w:rsidRPr="00D94DE3" w:rsidRDefault="00D728EC" w:rsidP="007D1031">
            <w:pPr>
              <w:jc w:val="both"/>
              <w:rPr>
                <w:rFonts w:ascii="Times New Roman" w:hAnsi="Times New Roman" w:cs="Times New Roman"/>
                <w:bCs w:val="0"/>
                <w:iCs/>
                <w:color w:val="000000" w:themeColor="text1"/>
                <w:sz w:val="20"/>
                <w:szCs w:val="20"/>
              </w:rPr>
            </w:pPr>
            <w:r w:rsidRPr="00D94DE3">
              <w:rPr>
                <w:rFonts w:ascii="Times New Roman" w:hAnsi="Times New Roman" w:cs="Times New Roman"/>
                <w:iCs/>
                <w:color w:val="000000" w:themeColor="text1"/>
                <w:sz w:val="20"/>
                <w:szCs w:val="20"/>
              </w:rPr>
              <w:t>Diagnosis</w:t>
            </w:r>
          </w:p>
        </w:tc>
        <w:tc>
          <w:tcPr>
            <w:tcW w:w="1470" w:type="dxa"/>
          </w:tcPr>
          <w:p w14:paraId="2364E46A" w14:textId="5A0D5AE4" w:rsidR="007D1031" w:rsidRPr="00D94DE3" w:rsidRDefault="00734987"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D94DE3">
              <w:rPr>
                <w:rFonts w:ascii="Times New Roman" w:hAnsi="Times New Roman" w:cs="Times New Roman"/>
                <w:iCs/>
                <w:color w:val="000000" w:themeColor="text1"/>
                <w:sz w:val="20"/>
                <w:szCs w:val="20"/>
              </w:rPr>
              <w:t xml:space="preserve">Year 1 </w:t>
            </w:r>
          </w:p>
          <w:p w14:paraId="709B7BD0" w14:textId="2C114265" w:rsidR="007D1031" w:rsidRPr="009E2E24"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470" w:type="dxa"/>
          </w:tcPr>
          <w:p w14:paraId="17E9DB71" w14:textId="30105E22" w:rsidR="007D1031" w:rsidRPr="00D94DE3" w:rsidRDefault="00734987"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D94DE3">
              <w:rPr>
                <w:rFonts w:ascii="Times New Roman" w:hAnsi="Times New Roman" w:cs="Times New Roman"/>
                <w:iCs/>
                <w:color w:val="000000" w:themeColor="text1"/>
                <w:sz w:val="20"/>
                <w:szCs w:val="20"/>
              </w:rPr>
              <w:t xml:space="preserve">Year 2 </w:t>
            </w:r>
          </w:p>
          <w:p w14:paraId="019441B7" w14:textId="2C8E0409" w:rsidR="007D1031" w:rsidRPr="009E2E24"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471" w:type="dxa"/>
          </w:tcPr>
          <w:p w14:paraId="2FA9BDC8" w14:textId="792F4AFF" w:rsidR="007D1031" w:rsidRPr="009E2E24" w:rsidRDefault="00734987"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Cs/>
                <w:color w:val="000000" w:themeColor="text1"/>
                <w:sz w:val="20"/>
                <w:szCs w:val="20"/>
              </w:rPr>
            </w:pPr>
            <w:r w:rsidRPr="00D94DE3">
              <w:rPr>
                <w:rFonts w:ascii="Times New Roman" w:hAnsi="Times New Roman" w:cs="Times New Roman"/>
                <w:iCs/>
                <w:color w:val="000000" w:themeColor="text1"/>
                <w:sz w:val="20"/>
                <w:szCs w:val="20"/>
              </w:rPr>
              <w:t xml:space="preserve">Year 3 </w:t>
            </w:r>
          </w:p>
          <w:p w14:paraId="1DE27342" w14:textId="574CDC5E" w:rsidR="007D1031" w:rsidRPr="009E2E24"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471" w:type="dxa"/>
          </w:tcPr>
          <w:p w14:paraId="136C628A" w14:textId="590B0A68" w:rsidR="007D1031" w:rsidRPr="00D94DE3" w:rsidRDefault="00734987"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D94DE3">
              <w:rPr>
                <w:rFonts w:ascii="Times New Roman" w:hAnsi="Times New Roman" w:cs="Times New Roman"/>
                <w:iCs/>
                <w:color w:val="000000" w:themeColor="text1"/>
                <w:sz w:val="20"/>
                <w:szCs w:val="20"/>
              </w:rPr>
              <w:t>Year 4</w:t>
            </w:r>
          </w:p>
          <w:p w14:paraId="400D02C4" w14:textId="601517C6" w:rsidR="007D1031" w:rsidRPr="009E2E24"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944" w:type="dxa"/>
          </w:tcPr>
          <w:p w14:paraId="4E2FE4FE" w14:textId="32DA741E" w:rsidR="007D1031" w:rsidRPr="00D94DE3" w:rsidRDefault="00734987"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D94DE3">
              <w:rPr>
                <w:rFonts w:ascii="Times New Roman" w:hAnsi="Times New Roman" w:cs="Times New Roman"/>
                <w:iCs/>
                <w:color w:val="000000" w:themeColor="text1"/>
                <w:sz w:val="20"/>
                <w:szCs w:val="20"/>
              </w:rPr>
              <w:t>Year 5</w:t>
            </w:r>
          </w:p>
          <w:p w14:paraId="1E70C6E2" w14:textId="74943ADB" w:rsidR="007D1031" w:rsidRPr="009E2E24"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r>
      <w:tr w:rsidR="007D1031" w:rsidRPr="00F2629E" w14:paraId="44B6DED2" w14:textId="77777777" w:rsidTr="009E2E24">
        <w:tc>
          <w:tcPr>
            <w:cnfStyle w:val="001000000000" w:firstRow="0" w:lastRow="0" w:firstColumn="1" w:lastColumn="0" w:oddVBand="0" w:evenVBand="0" w:oddHBand="0" w:evenHBand="0" w:firstRowFirstColumn="0" w:firstRowLastColumn="0" w:lastRowFirstColumn="0" w:lastRowLastColumn="0"/>
            <w:tcW w:w="1667" w:type="dxa"/>
          </w:tcPr>
          <w:p w14:paraId="08BC2CE7" w14:textId="1902EB7B" w:rsidR="007D1031" w:rsidRPr="00D94DE3" w:rsidRDefault="00D728EC" w:rsidP="007D1031">
            <w:pPr>
              <w:jc w:val="both"/>
              <w:rPr>
                <w:rFonts w:ascii="Times New Roman" w:hAnsi="Times New Roman" w:cs="Times New Roman"/>
                <w:bCs w:val="0"/>
                <w:iCs/>
                <w:color w:val="000000" w:themeColor="text1"/>
                <w:sz w:val="20"/>
                <w:szCs w:val="20"/>
              </w:rPr>
            </w:pPr>
            <w:r w:rsidRPr="00D94DE3">
              <w:rPr>
                <w:rFonts w:ascii="Times New Roman" w:hAnsi="Times New Roman" w:cs="Times New Roman"/>
                <w:iCs/>
                <w:color w:val="000000" w:themeColor="text1"/>
                <w:sz w:val="20"/>
                <w:szCs w:val="20"/>
              </w:rPr>
              <w:t>All patient group</w:t>
            </w:r>
          </w:p>
          <w:p w14:paraId="3FACEF47" w14:textId="77777777" w:rsidR="00D728EC" w:rsidRPr="00D94DE3" w:rsidRDefault="00D728EC" w:rsidP="007D1031">
            <w:pPr>
              <w:jc w:val="both"/>
              <w:rPr>
                <w:rFonts w:ascii="Times New Roman" w:hAnsi="Times New Roman" w:cs="Times New Roman"/>
                <w:bCs w:val="0"/>
                <w:iCs/>
                <w:color w:val="000000" w:themeColor="text1"/>
                <w:sz w:val="20"/>
                <w:szCs w:val="20"/>
              </w:rPr>
            </w:pPr>
          </w:p>
          <w:p w14:paraId="18F24CC2" w14:textId="15233FF9" w:rsidR="00D728EC" w:rsidRPr="00D94DE3" w:rsidRDefault="00D728EC" w:rsidP="007D1031">
            <w:pPr>
              <w:jc w:val="both"/>
              <w:rPr>
                <w:rFonts w:ascii="Times New Roman" w:hAnsi="Times New Roman" w:cs="Times New Roman"/>
                <w:bCs w:val="0"/>
                <w:iCs/>
                <w:color w:val="000000" w:themeColor="text1"/>
                <w:sz w:val="20"/>
                <w:szCs w:val="20"/>
              </w:rPr>
            </w:pPr>
          </w:p>
        </w:tc>
        <w:tc>
          <w:tcPr>
            <w:tcW w:w="1470" w:type="dxa"/>
          </w:tcPr>
          <w:p w14:paraId="22777609" w14:textId="48E00235" w:rsidR="007D1031" w:rsidRPr="009E2E24"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76%</w:t>
            </w:r>
            <w:r w:rsidR="00EC7CD6" w:rsidRPr="009E2E24">
              <w:rPr>
                <w:rFonts w:ascii="Times New Roman" w:hAnsi="Times New Roman" w:cs="Times New Roman"/>
                <w:iCs/>
                <w:color w:val="000000" w:themeColor="text1"/>
                <w:sz w:val="20"/>
                <w:szCs w:val="20"/>
              </w:rPr>
              <w:t xml:space="preserve"> (127/167)</w:t>
            </w:r>
          </w:p>
        </w:tc>
        <w:tc>
          <w:tcPr>
            <w:tcW w:w="1470" w:type="dxa"/>
          </w:tcPr>
          <w:p w14:paraId="5BF7FCA7" w14:textId="50DE3FF5" w:rsidR="007D1031" w:rsidRPr="009E2E24"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65%</w:t>
            </w:r>
            <w:r w:rsidR="00EC7CD6" w:rsidRPr="009E2E24">
              <w:rPr>
                <w:rFonts w:ascii="Times New Roman" w:hAnsi="Times New Roman" w:cs="Times New Roman"/>
                <w:iCs/>
                <w:color w:val="000000" w:themeColor="text1"/>
                <w:sz w:val="20"/>
                <w:szCs w:val="20"/>
              </w:rPr>
              <w:t xml:space="preserve"> (108/167)</w:t>
            </w:r>
          </w:p>
        </w:tc>
        <w:tc>
          <w:tcPr>
            <w:tcW w:w="1471" w:type="dxa"/>
          </w:tcPr>
          <w:p w14:paraId="6CD5C886" w14:textId="77777777" w:rsidR="007D1031" w:rsidRPr="009E2E24"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53%</w:t>
            </w:r>
          </w:p>
          <w:p w14:paraId="53A47426" w14:textId="4C45D362" w:rsidR="00EC7CD6" w:rsidRPr="009E2E24" w:rsidRDefault="00EC7CD6"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(89/167)</w:t>
            </w:r>
          </w:p>
        </w:tc>
        <w:tc>
          <w:tcPr>
            <w:tcW w:w="1471" w:type="dxa"/>
          </w:tcPr>
          <w:p w14:paraId="0D1C423B" w14:textId="77777777" w:rsidR="007D1031" w:rsidRPr="009E2E24"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50%</w:t>
            </w:r>
          </w:p>
          <w:p w14:paraId="6708BBB5" w14:textId="402BACC4" w:rsidR="00EC7CD6" w:rsidRPr="009E2E24" w:rsidRDefault="00EC7CD6"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(84/167)</w:t>
            </w:r>
          </w:p>
        </w:tc>
        <w:tc>
          <w:tcPr>
            <w:tcW w:w="1944" w:type="dxa"/>
          </w:tcPr>
          <w:p w14:paraId="767C5ACB" w14:textId="4C56BC8B" w:rsidR="007D1031" w:rsidRPr="009E2E24"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46%</w:t>
            </w:r>
            <w:r w:rsidR="00EC7CD6" w:rsidRPr="009E2E24">
              <w:rPr>
                <w:rFonts w:ascii="Times New Roman" w:hAnsi="Times New Roman" w:cs="Times New Roman"/>
                <w:iCs/>
                <w:color w:val="000000" w:themeColor="text1"/>
                <w:sz w:val="20"/>
                <w:szCs w:val="20"/>
              </w:rPr>
              <w:t xml:space="preserve">                             </w:t>
            </w:r>
          </w:p>
          <w:p w14:paraId="5515E9CA" w14:textId="608CE69D" w:rsidR="00EC7CD6" w:rsidRPr="009E2E24" w:rsidRDefault="00EC7CD6"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(77/167)</w:t>
            </w:r>
          </w:p>
        </w:tc>
      </w:tr>
      <w:tr w:rsidR="00D728EC" w:rsidRPr="00F2629E" w14:paraId="16F37A3D" w14:textId="77777777" w:rsidTr="009E2E24">
        <w:tc>
          <w:tcPr>
            <w:cnfStyle w:val="001000000000" w:firstRow="0" w:lastRow="0" w:firstColumn="1" w:lastColumn="0" w:oddVBand="0" w:evenVBand="0" w:oddHBand="0" w:evenHBand="0" w:firstRowFirstColumn="0" w:firstRowLastColumn="0" w:lastRowFirstColumn="0" w:lastRowLastColumn="0"/>
            <w:tcW w:w="1667" w:type="dxa"/>
          </w:tcPr>
          <w:p w14:paraId="1DBB8ECF" w14:textId="181746E2" w:rsidR="00D728EC" w:rsidRPr="00D94DE3" w:rsidRDefault="00D728EC" w:rsidP="007D1031">
            <w:pPr>
              <w:jc w:val="both"/>
              <w:rPr>
                <w:rFonts w:ascii="Times New Roman" w:hAnsi="Times New Roman" w:cs="Times New Roman"/>
                <w:bCs w:val="0"/>
                <w:iCs/>
                <w:color w:val="000000" w:themeColor="text1"/>
                <w:sz w:val="20"/>
                <w:szCs w:val="20"/>
              </w:rPr>
            </w:pPr>
            <w:r w:rsidRPr="00D94DE3">
              <w:rPr>
                <w:rFonts w:ascii="Times New Roman" w:hAnsi="Times New Roman" w:cs="Times New Roman"/>
                <w:iCs/>
                <w:color w:val="000000" w:themeColor="text1"/>
                <w:sz w:val="20"/>
                <w:szCs w:val="20"/>
              </w:rPr>
              <w:t>Schizophrenia</w:t>
            </w:r>
            <w:r w:rsidR="00316331" w:rsidRPr="00D94DE3">
              <w:rPr>
                <w:rFonts w:ascii="Times New Roman" w:hAnsi="Times New Roman" w:cs="Times New Roman"/>
                <w:iCs/>
                <w:color w:val="000000" w:themeColor="text1"/>
                <w:sz w:val="20"/>
                <w:szCs w:val="20"/>
              </w:rPr>
              <w:t xml:space="preserve"> group</w:t>
            </w:r>
          </w:p>
        </w:tc>
        <w:tc>
          <w:tcPr>
            <w:tcW w:w="1470" w:type="dxa"/>
          </w:tcPr>
          <w:p w14:paraId="3D1F1964" w14:textId="77777777"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 xml:space="preserve">80% </w:t>
            </w:r>
          </w:p>
          <w:p w14:paraId="3F624C47" w14:textId="0778B75D"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(93/117)</w:t>
            </w:r>
          </w:p>
        </w:tc>
        <w:tc>
          <w:tcPr>
            <w:tcW w:w="1470" w:type="dxa"/>
          </w:tcPr>
          <w:p w14:paraId="67068494" w14:textId="77777777"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68%</w:t>
            </w:r>
          </w:p>
          <w:p w14:paraId="391518A9" w14:textId="74D0DFF6"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(80/117)</w:t>
            </w:r>
          </w:p>
        </w:tc>
        <w:tc>
          <w:tcPr>
            <w:tcW w:w="1471" w:type="dxa"/>
          </w:tcPr>
          <w:p w14:paraId="356EB0CC" w14:textId="77777777"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56%</w:t>
            </w:r>
          </w:p>
          <w:p w14:paraId="795FCF34" w14:textId="5E60AF71"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(65/117)</w:t>
            </w:r>
          </w:p>
        </w:tc>
        <w:tc>
          <w:tcPr>
            <w:tcW w:w="1471" w:type="dxa"/>
          </w:tcPr>
          <w:p w14:paraId="7CA5276F" w14:textId="77777777"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52%</w:t>
            </w:r>
          </w:p>
          <w:p w14:paraId="6B9CE67D" w14:textId="06848916"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(61/117)</w:t>
            </w:r>
          </w:p>
        </w:tc>
        <w:tc>
          <w:tcPr>
            <w:tcW w:w="1944" w:type="dxa"/>
          </w:tcPr>
          <w:p w14:paraId="6033A5A7" w14:textId="77777777"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49%</w:t>
            </w:r>
          </w:p>
          <w:p w14:paraId="7D433920" w14:textId="07F06861" w:rsidR="00D728EC" w:rsidRPr="009E2E24" w:rsidRDefault="00D728EC"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(57/117)</w:t>
            </w:r>
          </w:p>
        </w:tc>
      </w:tr>
    </w:tbl>
    <w:p w14:paraId="54746833" w14:textId="77777777" w:rsidR="00D94DE3" w:rsidRDefault="00D94DE3" w:rsidP="009E2E24">
      <w:pPr>
        <w:pStyle w:val="ListParagraph"/>
        <w:jc w:val="both"/>
        <w:rPr>
          <w:rFonts w:ascii="Times New Roman" w:hAnsi="Times New Roman" w:cs="Times New Roman"/>
          <w:iCs/>
          <w:color w:val="000000" w:themeColor="text1"/>
          <w:sz w:val="20"/>
          <w:szCs w:val="20"/>
        </w:rPr>
      </w:pPr>
    </w:p>
    <w:p w14:paraId="1BAA122E" w14:textId="3F024095" w:rsidR="00D94DE3" w:rsidRPr="009E2E24" w:rsidRDefault="00D94DE3" w:rsidP="009E2E24">
      <w:pPr>
        <w:pStyle w:val="ListParagraph"/>
        <w:numPr>
          <w:ilvl w:val="0"/>
          <w:numId w:val="16"/>
        </w:numPr>
        <w:jc w:val="both"/>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Data is presented as a table showing continuation rates for each year of treatment according to diagnostic group</w:t>
      </w:r>
    </w:p>
    <w:p w14:paraId="45771630" w14:textId="0326810B" w:rsidR="00715FDB" w:rsidRPr="00D94DE3" w:rsidRDefault="00715FDB" w:rsidP="00734987">
      <w:pPr>
        <w:jc w:val="both"/>
        <w:rPr>
          <w:rFonts w:ascii="Times New Roman" w:hAnsi="Times New Roman" w:cs="Times New Roman"/>
          <w:b/>
          <w:iCs/>
          <w:color w:val="000000" w:themeColor="text1"/>
          <w:sz w:val="20"/>
          <w:szCs w:val="20"/>
        </w:rPr>
      </w:pPr>
      <w:r w:rsidRPr="00D94DE3">
        <w:rPr>
          <w:rFonts w:ascii="Times New Roman" w:hAnsi="Times New Roman" w:cs="Times New Roman"/>
          <w:b/>
          <w:iCs/>
          <w:color w:val="000000" w:themeColor="text1"/>
          <w:sz w:val="20"/>
          <w:szCs w:val="20"/>
        </w:rPr>
        <w:t xml:space="preserve">Table 3 </w:t>
      </w:r>
      <w:r w:rsidRPr="009E2E24">
        <w:rPr>
          <w:rStyle w:val="Heading2Char"/>
          <w:rFonts w:ascii="Times New Roman" w:hAnsi="Times New Roman" w:cs="Times New Roman"/>
          <w:color w:val="000000" w:themeColor="text1"/>
          <w:sz w:val="20"/>
          <w:szCs w:val="20"/>
        </w:rPr>
        <w:t>Discontinuation reasons for all patients, schizophrenia patients, patients with other diagnoses</w:t>
      </w:r>
      <w:r w:rsidR="00D94DE3" w:rsidRPr="009E2E24">
        <w:rPr>
          <w:rStyle w:val="Heading2Char"/>
          <w:rFonts w:ascii="Times New Roman" w:hAnsi="Times New Roman" w:cs="Times New Roman"/>
          <w:color w:val="000000" w:themeColor="text1"/>
          <w:sz w:val="20"/>
          <w:szCs w:val="20"/>
          <w:vertAlign w:val="superscript"/>
        </w:rPr>
        <w:t>c</w:t>
      </w:r>
    </w:p>
    <w:tbl>
      <w:tblPr>
        <w:tblStyle w:val="TableGridLight"/>
        <w:tblpPr w:leftFromText="180" w:rightFromText="180" w:vertAnchor="text" w:horzAnchor="margin" w:tblpY="3"/>
        <w:tblW w:w="9493" w:type="dxa"/>
        <w:tblLook w:val="04A0" w:firstRow="1" w:lastRow="0" w:firstColumn="1" w:lastColumn="0" w:noHBand="0" w:noVBand="1"/>
      </w:tblPr>
      <w:tblGrid>
        <w:gridCol w:w="1763"/>
        <w:gridCol w:w="2519"/>
        <w:gridCol w:w="2520"/>
        <w:gridCol w:w="2691"/>
      </w:tblGrid>
      <w:tr w:rsidR="00715FDB" w:rsidRPr="00F2629E" w14:paraId="324F9E9F" w14:textId="77777777" w:rsidTr="009E2E24">
        <w:tc>
          <w:tcPr>
            <w:tcW w:w="1763" w:type="dxa"/>
          </w:tcPr>
          <w:p w14:paraId="098A2963" w14:textId="77777777" w:rsidR="00715FDB" w:rsidRPr="009E2E24" w:rsidRDefault="00715FDB" w:rsidP="00B40302">
            <w:pPr>
              <w:tabs>
                <w:tab w:val="left" w:pos="750"/>
              </w:tabs>
              <w:jc w:val="both"/>
              <w:rPr>
                <w:rFonts w:ascii="Times New Roman" w:hAnsi="Times New Roman" w:cs="Times New Roman"/>
                <w:b/>
                <w:iCs/>
                <w:sz w:val="20"/>
                <w:szCs w:val="20"/>
              </w:rPr>
            </w:pPr>
            <w:r w:rsidRPr="009E2E24">
              <w:rPr>
                <w:rFonts w:ascii="Times New Roman" w:hAnsi="Times New Roman" w:cs="Times New Roman"/>
                <w:b/>
                <w:iCs/>
                <w:sz w:val="20"/>
                <w:szCs w:val="20"/>
              </w:rPr>
              <w:t>Discontinuation Reasons</w:t>
            </w:r>
          </w:p>
        </w:tc>
        <w:tc>
          <w:tcPr>
            <w:tcW w:w="2519" w:type="dxa"/>
          </w:tcPr>
          <w:p w14:paraId="14625FFB" w14:textId="77777777" w:rsidR="00715FDB" w:rsidRPr="00D94DE3" w:rsidRDefault="00715FDB" w:rsidP="00B40302">
            <w:pPr>
              <w:jc w:val="both"/>
              <w:rPr>
                <w:rFonts w:ascii="Times New Roman" w:hAnsi="Times New Roman" w:cs="Times New Roman"/>
                <w:b/>
                <w:bCs/>
                <w:iCs/>
                <w:sz w:val="20"/>
                <w:szCs w:val="20"/>
              </w:rPr>
            </w:pPr>
            <w:r w:rsidRPr="009E2E24">
              <w:rPr>
                <w:rFonts w:ascii="Times New Roman" w:hAnsi="Times New Roman" w:cs="Times New Roman"/>
                <w:b/>
                <w:iCs/>
                <w:sz w:val="20"/>
                <w:szCs w:val="20"/>
              </w:rPr>
              <w:t xml:space="preserve">All patients </w:t>
            </w:r>
          </w:p>
          <w:p w14:paraId="1D08EFAF" w14:textId="77777777" w:rsidR="00715FDB" w:rsidRPr="009E2E24" w:rsidRDefault="00715FDB" w:rsidP="00B40302">
            <w:pPr>
              <w:jc w:val="both"/>
              <w:rPr>
                <w:rFonts w:ascii="Times New Roman" w:hAnsi="Times New Roman" w:cs="Times New Roman"/>
                <w:b/>
                <w:iCs/>
                <w:sz w:val="20"/>
                <w:szCs w:val="20"/>
              </w:rPr>
            </w:pPr>
            <w:r w:rsidRPr="009E2E24">
              <w:rPr>
                <w:rFonts w:ascii="Times New Roman" w:hAnsi="Times New Roman" w:cs="Times New Roman"/>
                <w:b/>
                <w:iCs/>
                <w:sz w:val="20"/>
                <w:szCs w:val="20"/>
              </w:rPr>
              <w:t xml:space="preserve">n= 167 </w:t>
            </w:r>
          </w:p>
        </w:tc>
        <w:tc>
          <w:tcPr>
            <w:tcW w:w="2520" w:type="dxa"/>
          </w:tcPr>
          <w:p w14:paraId="7ADFDBB2" w14:textId="77777777" w:rsidR="00715FDB" w:rsidRPr="009E2E24" w:rsidRDefault="00715FDB" w:rsidP="00B40302">
            <w:pPr>
              <w:rPr>
                <w:rFonts w:ascii="Times New Roman" w:hAnsi="Times New Roman" w:cs="Times New Roman"/>
                <w:b/>
                <w:iCs/>
                <w:sz w:val="20"/>
                <w:szCs w:val="20"/>
              </w:rPr>
            </w:pPr>
            <w:r w:rsidRPr="009E2E24">
              <w:rPr>
                <w:rFonts w:ascii="Times New Roman" w:hAnsi="Times New Roman" w:cs="Times New Roman"/>
                <w:b/>
                <w:iCs/>
                <w:sz w:val="20"/>
                <w:szCs w:val="20"/>
              </w:rPr>
              <w:t xml:space="preserve">Schizophrenia patients n= 117 </w:t>
            </w:r>
          </w:p>
        </w:tc>
        <w:tc>
          <w:tcPr>
            <w:tcW w:w="2691" w:type="dxa"/>
          </w:tcPr>
          <w:p w14:paraId="78FC34AC" w14:textId="77777777" w:rsidR="00715FDB" w:rsidRPr="00D94DE3" w:rsidRDefault="00715FDB" w:rsidP="00B40302">
            <w:pPr>
              <w:rPr>
                <w:rFonts w:ascii="Times New Roman" w:hAnsi="Times New Roman" w:cs="Times New Roman"/>
                <w:b/>
                <w:bCs/>
                <w:iCs/>
                <w:color w:val="000000" w:themeColor="text1"/>
                <w:sz w:val="20"/>
                <w:szCs w:val="20"/>
              </w:rPr>
            </w:pPr>
            <w:r w:rsidRPr="009E2E24">
              <w:rPr>
                <w:rFonts w:ascii="Times New Roman" w:hAnsi="Times New Roman" w:cs="Times New Roman"/>
                <w:b/>
                <w:iCs/>
                <w:color w:val="000000" w:themeColor="text1"/>
                <w:sz w:val="20"/>
                <w:szCs w:val="20"/>
              </w:rPr>
              <w:t>Other diagnoses patients</w:t>
            </w:r>
          </w:p>
          <w:p w14:paraId="7E7D91CF" w14:textId="77777777" w:rsidR="00715FDB" w:rsidRPr="009E2E24" w:rsidRDefault="00715FDB" w:rsidP="00B40302">
            <w:pPr>
              <w:rPr>
                <w:rFonts w:ascii="Times New Roman" w:hAnsi="Times New Roman" w:cs="Times New Roman"/>
                <w:b/>
                <w:iCs/>
                <w:color w:val="000000" w:themeColor="text1"/>
                <w:sz w:val="20"/>
                <w:szCs w:val="20"/>
              </w:rPr>
            </w:pPr>
            <w:r w:rsidRPr="009E2E24">
              <w:rPr>
                <w:rFonts w:ascii="Times New Roman" w:hAnsi="Times New Roman" w:cs="Times New Roman"/>
                <w:b/>
                <w:iCs/>
                <w:color w:val="000000" w:themeColor="text1"/>
                <w:sz w:val="20"/>
                <w:szCs w:val="20"/>
              </w:rPr>
              <w:t xml:space="preserve">n= 50 </w:t>
            </w:r>
          </w:p>
        </w:tc>
      </w:tr>
      <w:tr w:rsidR="00715FDB" w:rsidRPr="00F2629E" w14:paraId="3E559A6E" w14:textId="77777777" w:rsidTr="009E2E24">
        <w:tc>
          <w:tcPr>
            <w:tcW w:w="1763" w:type="dxa"/>
          </w:tcPr>
          <w:p w14:paraId="33850D4F" w14:textId="77777777" w:rsidR="00715FDB" w:rsidRPr="009E2E24" w:rsidRDefault="00715FDB" w:rsidP="00B40302">
            <w:pPr>
              <w:tabs>
                <w:tab w:val="left" w:pos="750"/>
              </w:tabs>
              <w:jc w:val="both"/>
              <w:rPr>
                <w:rFonts w:ascii="Times New Roman" w:hAnsi="Times New Roman" w:cs="Times New Roman"/>
                <w:b/>
                <w:iCs/>
                <w:sz w:val="20"/>
                <w:szCs w:val="20"/>
              </w:rPr>
            </w:pPr>
            <w:r w:rsidRPr="009E2E24">
              <w:rPr>
                <w:rFonts w:ascii="Times New Roman" w:hAnsi="Times New Roman" w:cs="Times New Roman"/>
                <w:b/>
                <w:iCs/>
                <w:sz w:val="20"/>
                <w:szCs w:val="20"/>
              </w:rPr>
              <w:t>Poor tolerability</w:t>
            </w:r>
          </w:p>
        </w:tc>
        <w:tc>
          <w:tcPr>
            <w:tcW w:w="2519" w:type="dxa"/>
          </w:tcPr>
          <w:p w14:paraId="125C577C"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33/167 (20%)</w:t>
            </w:r>
          </w:p>
        </w:tc>
        <w:tc>
          <w:tcPr>
            <w:tcW w:w="2520" w:type="dxa"/>
          </w:tcPr>
          <w:p w14:paraId="7B94E3F8"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20/117 (17%)</w:t>
            </w:r>
          </w:p>
        </w:tc>
        <w:tc>
          <w:tcPr>
            <w:tcW w:w="2691" w:type="dxa"/>
          </w:tcPr>
          <w:p w14:paraId="19FA9C94" w14:textId="77777777" w:rsidR="00715FDB" w:rsidRPr="0089336D" w:rsidRDefault="00715FDB" w:rsidP="00B40302">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13/50 (26%)</w:t>
            </w:r>
          </w:p>
        </w:tc>
      </w:tr>
      <w:tr w:rsidR="00715FDB" w:rsidRPr="00F2629E" w14:paraId="5901A8D3" w14:textId="77777777" w:rsidTr="009E2E24">
        <w:tc>
          <w:tcPr>
            <w:tcW w:w="1763" w:type="dxa"/>
          </w:tcPr>
          <w:p w14:paraId="75123E6E" w14:textId="77777777" w:rsidR="00715FDB" w:rsidRPr="009E2E24" w:rsidRDefault="00715FDB" w:rsidP="00B40302">
            <w:pPr>
              <w:tabs>
                <w:tab w:val="left" w:pos="750"/>
              </w:tabs>
              <w:jc w:val="both"/>
              <w:rPr>
                <w:rFonts w:ascii="Times New Roman" w:hAnsi="Times New Roman" w:cs="Times New Roman"/>
                <w:b/>
                <w:iCs/>
                <w:sz w:val="20"/>
                <w:szCs w:val="20"/>
              </w:rPr>
            </w:pPr>
            <w:r w:rsidRPr="009E2E24">
              <w:rPr>
                <w:rFonts w:ascii="Times New Roman" w:hAnsi="Times New Roman" w:cs="Times New Roman"/>
                <w:b/>
                <w:iCs/>
                <w:sz w:val="20"/>
                <w:szCs w:val="20"/>
              </w:rPr>
              <w:t>Ineffectiveness</w:t>
            </w:r>
          </w:p>
        </w:tc>
        <w:tc>
          <w:tcPr>
            <w:tcW w:w="2519" w:type="dxa"/>
          </w:tcPr>
          <w:p w14:paraId="57F2054F"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23/167 (14%)</w:t>
            </w:r>
          </w:p>
        </w:tc>
        <w:tc>
          <w:tcPr>
            <w:tcW w:w="2520" w:type="dxa"/>
          </w:tcPr>
          <w:p w14:paraId="7AC29192"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20/117 (17%)</w:t>
            </w:r>
          </w:p>
        </w:tc>
        <w:tc>
          <w:tcPr>
            <w:tcW w:w="2691" w:type="dxa"/>
          </w:tcPr>
          <w:p w14:paraId="15578122" w14:textId="77777777" w:rsidR="00715FDB" w:rsidRPr="0089336D" w:rsidRDefault="00715FDB" w:rsidP="00B40302">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4/50 (8%)</w:t>
            </w:r>
          </w:p>
        </w:tc>
      </w:tr>
      <w:tr w:rsidR="00715FDB" w:rsidRPr="00F2629E" w14:paraId="0FF8F159" w14:textId="77777777" w:rsidTr="009E2E24">
        <w:tc>
          <w:tcPr>
            <w:tcW w:w="1763" w:type="dxa"/>
          </w:tcPr>
          <w:p w14:paraId="2FB69EB0" w14:textId="32C5EF08" w:rsidR="00715FDB" w:rsidRPr="009E2E24" w:rsidRDefault="00715FDB" w:rsidP="00B40302">
            <w:pPr>
              <w:tabs>
                <w:tab w:val="left" w:pos="750"/>
              </w:tabs>
              <w:jc w:val="both"/>
              <w:rPr>
                <w:rFonts w:ascii="Times New Roman" w:hAnsi="Times New Roman" w:cs="Times New Roman"/>
                <w:b/>
                <w:iCs/>
                <w:sz w:val="20"/>
                <w:szCs w:val="20"/>
              </w:rPr>
            </w:pPr>
            <w:r w:rsidRPr="009E2E24">
              <w:rPr>
                <w:rFonts w:ascii="Times New Roman" w:hAnsi="Times New Roman" w:cs="Times New Roman"/>
                <w:b/>
                <w:iCs/>
                <w:sz w:val="20"/>
                <w:szCs w:val="20"/>
              </w:rPr>
              <w:t>Poor adherence</w:t>
            </w:r>
          </w:p>
        </w:tc>
        <w:tc>
          <w:tcPr>
            <w:tcW w:w="2519" w:type="dxa"/>
          </w:tcPr>
          <w:p w14:paraId="0BF29F55"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22/167 (13%)</w:t>
            </w:r>
          </w:p>
        </w:tc>
        <w:tc>
          <w:tcPr>
            <w:tcW w:w="2520" w:type="dxa"/>
          </w:tcPr>
          <w:p w14:paraId="75D727BD"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14/117 (12%)</w:t>
            </w:r>
          </w:p>
        </w:tc>
        <w:tc>
          <w:tcPr>
            <w:tcW w:w="2691" w:type="dxa"/>
          </w:tcPr>
          <w:p w14:paraId="5A1C6FC6" w14:textId="77777777" w:rsidR="00715FDB" w:rsidRPr="0089336D" w:rsidRDefault="00715FDB" w:rsidP="00B40302">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8/50 (16%)</w:t>
            </w:r>
          </w:p>
        </w:tc>
      </w:tr>
      <w:tr w:rsidR="00715FDB" w:rsidRPr="00F2629E" w14:paraId="03D908B3" w14:textId="77777777" w:rsidTr="009E2E24">
        <w:tc>
          <w:tcPr>
            <w:tcW w:w="1763" w:type="dxa"/>
          </w:tcPr>
          <w:p w14:paraId="5C4FA4D1" w14:textId="77777777" w:rsidR="00715FDB" w:rsidRPr="009E2E24" w:rsidRDefault="00715FDB" w:rsidP="00B40302">
            <w:pPr>
              <w:tabs>
                <w:tab w:val="left" w:pos="750"/>
              </w:tabs>
              <w:jc w:val="both"/>
              <w:rPr>
                <w:rFonts w:ascii="Times New Roman" w:hAnsi="Times New Roman" w:cs="Times New Roman"/>
                <w:b/>
                <w:iCs/>
                <w:sz w:val="20"/>
                <w:szCs w:val="20"/>
              </w:rPr>
            </w:pPr>
            <w:r w:rsidRPr="009E2E24">
              <w:rPr>
                <w:rFonts w:ascii="Times New Roman" w:hAnsi="Times New Roman" w:cs="Times New Roman"/>
                <w:b/>
                <w:iCs/>
                <w:sz w:val="20"/>
                <w:szCs w:val="20"/>
              </w:rPr>
              <w:t>Other</w:t>
            </w:r>
          </w:p>
        </w:tc>
        <w:tc>
          <w:tcPr>
            <w:tcW w:w="2519" w:type="dxa"/>
          </w:tcPr>
          <w:p w14:paraId="7672DCAF"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12/167 (7%)</w:t>
            </w:r>
          </w:p>
        </w:tc>
        <w:tc>
          <w:tcPr>
            <w:tcW w:w="2520" w:type="dxa"/>
          </w:tcPr>
          <w:p w14:paraId="2F8921F5" w14:textId="77777777" w:rsidR="00715FDB" w:rsidRPr="0089336D" w:rsidRDefault="00715FDB" w:rsidP="00B40302">
            <w:pPr>
              <w:jc w:val="both"/>
              <w:rPr>
                <w:rFonts w:ascii="Times New Roman" w:hAnsi="Times New Roman" w:cs="Times New Roman"/>
                <w:iCs/>
                <w:sz w:val="20"/>
                <w:szCs w:val="20"/>
              </w:rPr>
            </w:pPr>
            <w:r w:rsidRPr="0089336D">
              <w:rPr>
                <w:rFonts w:ascii="Times New Roman" w:hAnsi="Times New Roman" w:cs="Times New Roman"/>
                <w:iCs/>
                <w:sz w:val="20"/>
                <w:szCs w:val="20"/>
              </w:rPr>
              <w:t>6/117(5%)</w:t>
            </w:r>
          </w:p>
        </w:tc>
        <w:tc>
          <w:tcPr>
            <w:tcW w:w="2691" w:type="dxa"/>
          </w:tcPr>
          <w:p w14:paraId="3AE87B90" w14:textId="77777777" w:rsidR="00715FDB" w:rsidRPr="0089336D" w:rsidRDefault="00715FDB" w:rsidP="00B40302">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5/50 (10%)</w:t>
            </w:r>
          </w:p>
        </w:tc>
      </w:tr>
    </w:tbl>
    <w:p w14:paraId="3AA08D23" w14:textId="4EFFBCE8" w:rsidR="00715FDB" w:rsidRPr="009E2E24" w:rsidRDefault="00715FDB" w:rsidP="00734987">
      <w:pPr>
        <w:jc w:val="both"/>
        <w:rPr>
          <w:rFonts w:ascii="Times New Roman" w:hAnsi="Times New Roman" w:cs="Times New Roman"/>
          <w:iCs/>
          <w:color w:val="000000" w:themeColor="text1"/>
          <w:sz w:val="20"/>
          <w:szCs w:val="20"/>
        </w:rPr>
      </w:pPr>
    </w:p>
    <w:p w14:paraId="43FEF270" w14:textId="3BD5E443" w:rsidR="00D94DE3" w:rsidRPr="009E2E24" w:rsidRDefault="00D94DE3" w:rsidP="009E2E24">
      <w:pPr>
        <w:pStyle w:val="ListParagraph"/>
        <w:numPr>
          <w:ilvl w:val="0"/>
          <w:numId w:val="16"/>
        </w:numPr>
        <w:jc w:val="both"/>
        <w:rPr>
          <w:rFonts w:ascii="Times New Roman" w:hAnsi="Times New Roman" w:cs="Times New Roman"/>
          <w:iCs/>
          <w:color w:val="000000" w:themeColor="text1"/>
          <w:sz w:val="20"/>
          <w:szCs w:val="20"/>
        </w:rPr>
      </w:pPr>
      <w:r w:rsidRPr="009E2E24">
        <w:rPr>
          <w:rFonts w:ascii="Times New Roman" w:hAnsi="Times New Roman" w:cs="Times New Roman"/>
          <w:iCs/>
          <w:color w:val="000000" w:themeColor="text1"/>
          <w:sz w:val="20"/>
          <w:szCs w:val="20"/>
        </w:rPr>
        <w:t>Data is presented as a table showing reasons for discontinuing PP1M according to diagnostic group</w:t>
      </w:r>
    </w:p>
    <w:p w14:paraId="0169112B" w14:textId="77777777" w:rsidR="00D94DE3" w:rsidRPr="009E2E24" w:rsidRDefault="00D94DE3" w:rsidP="00734987">
      <w:pPr>
        <w:jc w:val="both"/>
        <w:rPr>
          <w:rFonts w:ascii="Times New Roman" w:hAnsi="Times New Roman" w:cs="Times New Roman"/>
          <w:b/>
          <w:iCs/>
          <w:color w:val="000000" w:themeColor="text1"/>
          <w:sz w:val="20"/>
          <w:szCs w:val="20"/>
          <w:vertAlign w:val="superscript"/>
        </w:rPr>
      </w:pPr>
    </w:p>
    <w:p w14:paraId="2683D69F" w14:textId="6980823B" w:rsidR="007D1031" w:rsidRPr="009E2E24" w:rsidRDefault="007D1031" w:rsidP="00734987">
      <w:pPr>
        <w:pStyle w:val="Heading2"/>
        <w:rPr>
          <w:rFonts w:ascii="Times New Roman" w:hAnsi="Times New Roman" w:cs="Times New Roman"/>
          <w:color w:val="000000" w:themeColor="text1"/>
          <w:sz w:val="20"/>
          <w:szCs w:val="20"/>
        </w:rPr>
      </w:pPr>
      <w:r w:rsidRPr="009E2E24">
        <w:rPr>
          <w:rFonts w:ascii="Times New Roman" w:hAnsi="Times New Roman" w:cs="Times New Roman"/>
          <w:b/>
          <w:color w:val="000000" w:themeColor="text1"/>
          <w:sz w:val="20"/>
          <w:szCs w:val="20"/>
        </w:rPr>
        <w:t xml:space="preserve">Table </w:t>
      </w:r>
      <w:r w:rsidR="00316331" w:rsidRPr="009E2E24">
        <w:rPr>
          <w:rFonts w:ascii="Times New Roman" w:hAnsi="Times New Roman" w:cs="Times New Roman"/>
          <w:b/>
          <w:color w:val="000000" w:themeColor="text1"/>
          <w:sz w:val="20"/>
          <w:szCs w:val="20"/>
        </w:rPr>
        <w:t>4</w:t>
      </w:r>
      <w:r w:rsidRPr="009E2E24">
        <w:rPr>
          <w:rFonts w:ascii="Times New Roman" w:hAnsi="Times New Roman" w:cs="Times New Roman"/>
          <w:color w:val="000000" w:themeColor="text1"/>
          <w:sz w:val="20"/>
          <w:szCs w:val="20"/>
        </w:rPr>
        <w:t xml:space="preserve"> Demographical and clinical characteristics of patients who continued PP1M for 5 years vs patients who discontinued</w:t>
      </w:r>
      <w:r w:rsidR="00D94DE3" w:rsidRPr="009E2E24">
        <w:rPr>
          <w:rFonts w:ascii="Times New Roman" w:hAnsi="Times New Roman" w:cs="Times New Roman"/>
          <w:color w:val="000000" w:themeColor="text1"/>
          <w:sz w:val="20"/>
          <w:szCs w:val="20"/>
          <w:vertAlign w:val="superscript"/>
        </w:rPr>
        <w:t>d</w:t>
      </w:r>
    </w:p>
    <w:tbl>
      <w:tblPr>
        <w:tblStyle w:val="GridTable1Light"/>
        <w:tblW w:w="9242" w:type="dxa"/>
        <w:tblLook w:val="04A0" w:firstRow="1" w:lastRow="0" w:firstColumn="1" w:lastColumn="0" w:noHBand="0" w:noVBand="1"/>
      </w:tblPr>
      <w:tblGrid>
        <w:gridCol w:w="2518"/>
        <w:gridCol w:w="2268"/>
        <w:gridCol w:w="2126"/>
        <w:gridCol w:w="1134"/>
        <w:gridCol w:w="1196"/>
      </w:tblGrid>
      <w:tr w:rsidR="007D1031" w:rsidRPr="00F2629E" w14:paraId="1F07DF1E" w14:textId="77777777" w:rsidTr="009E2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ACD4B29"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Characteristics</w:t>
            </w:r>
          </w:p>
        </w:tc>
        <w:tc>
          <w:tcPr>
            <w:tcW w:w="2268" w:type="dxa"/>
          </w:tcPr>
          <w:p w14:paraId="20C91C9E"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Continued on PP1M </w:t>
            </w:r>
          </w:p>
          <w:p w14:paraId="5E5BA021"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n= 77 (%)</w:t>
            </w:r>
          </w:p>
        </w:tc>
        <w:tc>
          <w:tcPr>
            <w:tcW w:w="2126" w:type="dxa"/>
          </w:tcPr>
          <w:p w14:paraId="7C1AFDCF"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Discontinued PP1M</w:t>
            </w:r>
          </w:p>
          <w:p w14:paraId="3287D6A7" w14:textId="77777777" w:rsidR="007D1031" w:rsidRPr="0089336D" w:rsidRDefault="007D1031" w:rsidP="007D103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n= 90 (%) </w:t>
            </w:r>
          </w:p>
        </w:tc>
        <w:tc>
          <w:tcPr>
            <w:tcW w:w="1134" w:type="dxa"/>
          </w:tcPr>
          <w:p w14:paraId="2042803D" w14:textId="088DDE36" w:rsidR="007D1031" w:rsidRPr="0089336D" w:rsidRDefault="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X 2 (df</w:t>
            </w:r>
            <w:r w:rsidR="00D94DE3" w:rsidRPr="0089336D">
              <w:rPr>
                <w:rFonts w:ascii="Times New Roman" w:hAnsi="Times New Roman" w:cs="Times New Roman"/>
                <w:iCs/>
                <w:color w:val="000000" w:themeColor="text1"/>
                <w:sz w:val="20"/>
                <w:szCs w:val="20"/>
              </w:rPr>
              <w:t>)</w:t>
            </w:r>
            <w:r w:rsidR="00D94DE3" w:rsidRPr="009E2E24">
              <w:rPr>
                <w:rStyle w:val="FootnoteReference"/>
                <w:color w:val="000000" w:themeColor="text1"/>
              </w:rPr>
              <w:t>e</w:t>
            </w:r>
          </w:p>
        </w:tc>
        <w:tc>
          <w:tcPr>
            <w:tcW w:w="1196" w:type="dxa"/>
          </w:tcPr>
          <w:p w14:paraId="323E6726" w14:textId="77777777" w:rsidR="007D1031" w:rsidRPr="0089336D" w:rsidRDefault="007D1031" w:rsidP="007D103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P value</w:t>
            </w:r>
          </w:p>
        </w:tc>
      </w:tr>
      <w:tr w:rsidR="007D1031" w:rsidRPr="00F2629E" w14:paraId="2A56B03C" w14:textId="77777777" w:rsidTr="009E2E24">
        <w:tc>
          <w:tcPr>
            <w:cnfStyle w:val="001000000000" w:firstRow="0" w:lastRow="0" w:firstColumn="1" w:lastColumn="0" w:oddVBand="0" w:evenVBand="0" w:oddHBand="0" w:evenHBand="0" w:firstRowFirstColumn="0" w:firstRowLastColumn="0" w:lastRowFirstColumn="0" w:lastRowLastColumn="0"/>
            <w:tcW w:w="2518" w:type="dxa"/>
          </w:tcPr>
          <w:p w14:paraId="0C07523A" w14:textId="522F3E10"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Sex</w:t>
            </w:r>
          </w:p>
          <w:p w14:paraId="0FEA23C2"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Male</w:t>
            </w:r>
          </w:p>
          <w:p w14:paraId="246A9528"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Female</w:t>
            </w:r>
          </w:p>
        </w:tc>
        <w:tc>
          <w:tcPr>
            <w:tcW w:w="2268" w:type="dxa"/>
          </w:tcPr>
          <w:p w14:paraId="27E8E48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C94672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53 (68.8)</w:t>
            </w:r>
          </w:p>
          <w:p w14:paraId="54457DD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24 (21.2)</w:t>
            </w:r>
          </w:p>
        </w:tc>
        <w:tc>
          <w:tcPr>
            <w:tcW w:w="2126" w:type="dxa"/>
          </w:tcPr>
          <w:p w14:paraId="08FA3A1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2933DA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57 (63.3)</w:t>
            </w:r>
          </w:p>
          <w:p w14:paraId="65B1EDF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33 (36.7)</w:t>
            </w:r>
          </w:p>
        </w:tc>
        <w:tc>
          <w:tcPr>
            <w:tcW w:w="1134" w:type="dxa"/>
          </w:tcPr>
          <w:p w14:paraId="7602E79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87B419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0.56 (1)</w:t>
            </w:r>
          </w:p>
        </w:tc>
        <w:tc>
          <w:tcPr>
            <w:tcW w:w="1196" w:type="dxa"/>
          </w:tcPr>
          <w:p w14:paraId="5B8FADB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3209503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0.45</w:t>
            </w:r>
          </w:p>
        </w:tc>
      </w:tr>
      <w:tr w:rsidR="007D1031" w:rsidRPr="00F2629E" w14:paraId="1FF9ABE5" w14:textId="77777777" w:rsidTr="009E2E24">
        <w:trPr>
          <w:trHeight w:val="521"/>
        </w:trPr>
        <w:tc>
          <w:tcPr>
            <w:cnfStyle w:val="001000000000" w:firstRow="0" w:lastRow="0" w:firstColumn="1" w:lastColumn="0" w:oddVBand="0" w:evenVBand="0" w:oddHBand="0" w:evenHBand="0" w:firstRowFirstColumn="0" w:firstRowLastColumn="0" w:lastRowFirstColumn="0" w:lastRowLastColumn="0"/>
            <w:tcW w:w="2518" w:type="dxa"/>
          </w:tcPr>
          <w:p w14:paraId="5AB3C35D"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Age </w:t>
            </w:r>
          </w:p>
          <w:p w14:paraId="3D5AB142"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Mean (SD), range</w:t>
            </w:r>
          </w:p>
        </w:tc>
        <w:tc>
          <w:tcPr>
            <w:tcW w:w="2268" w:type="dxa"/>
          </w:tcPr>
          <w:p w14:paraId="5B4F0F1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3029E3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48.5 (14.14), 21-74</w:t>
            </w:r>
          </w:p>
        </w:tc>
        <w:tc>
          <w:tcPr>
            <w:tcW w:w="2126" w:type="dxa"/>
          </w:tcPr>
          <w:p w14:paraId="167CEBB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16C953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49.67 (14.3), 25-67</w:t>
            </w:r>
          </w:p>
        </w:tc>
        <w:tc>
          <w:tcPr>
            <w:tcW w:w="1134" w:type="dxa"/>
          </w:tcPr>
          <w:p w14:paraId="4DA6455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196" w:type="dxa"/>
          </w:tcPr>
          <w:p w14:paraId="7EBFD27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r>
      <w:tr w:rsidR="007D1031" w:rsidRPr="00F2629E" w14:paraId="02269A64" w14:textId="77777777" w:rsidTr="009E2E24">
        <w:tc>
          <w:tcPr>
            <w:cnfStyle w:val="001000000000" w:firstRow="0" w:lastRow="0" w:firstColumn="1" w:lastColumn="0" w:oddVBand="0" w:evenVBand="0" w:oddHBand="0" w:evenHBand="0" w:firstRowFirstColumn="0" w:firstRowLastColumn="0" w:lastRowFirstColumn="0" w:lastRowLastColumn="0"/>
            <w:tcW w:w="2518" w:type="dxa"/>
          </w:tcPr>
          <w:p w14:paraId="48443E7E"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Ethnicity</w:t>
            </w:r>
          </w:p>
          <w:p w14:paraId="7D1E3A7E"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White </w:t>
            </w:r>
          </w:p>
          <w:p w14:paraId="0BB6E1FF"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Black </w:t>
            </w:r>
          </w:p>
          <w:p w14:paraId="0208AE9C"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Other</w:t>
            </w:r>
          </w:p>
        </w:tc>
        <w:tc>
          <w:tcPr>
            <w:tcW w:w="2268" w:type="dxa"/>
          </w:tcPr>
          <w:p w14:paraId="221F484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52488B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28 (36.4)</w:t>
            </w:r>
          </w:p>
          <w:p w14:paraId="059D927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26 (33.8)</w:t>
            </w:r>
          </w:p>
          <w:p w14:paraId="0908019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23 (29.8)</w:t>
            </w:r>
          </w:p>
        </w:tc>
        <w:tc>
          <w:tcPr>
            <w:tcW w:w="2126" w:type="dxa"/>
          </w:tcPr>
          <w:p w14:paraId="133115E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D2327C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37 (41.1)</w:t>
            </w:r>
          </w:p>
          <w:p w14:paraId="28B9A86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28 (31.1)</w:t>
            </w:r>
          </w:p>
          <w:p w14:paraId="757D55B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25 (27.8)</w:t>
            </w:r>
          </w:p>
        </w:tc>
        <w:tc>
          <w:tcPr>
            <w:tcW w:w="1134" w:type="dxa"/>
          </w:tcPr>
          <w:p w14:paraId="644E74C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30E380D0"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0.39 (2)</w:t>
            </w:r>
          </w:p>
        </w:tc>
        <w:tc>
          <w:tcPr>
            <w:tcW w:w="1196" w:type="dxa"/>
          </w:tcPr>
          <w:p w14:paraId="22D1891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B846BC0"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0.82</w:t>
            </w:r>
          </w:p>
        </w:tc>
      </w:tr>
      <w:tr w:rsidR="007D1031" w:rsidRPr="00F2629E" w14:paraId="160C27AE" w14:textId="77777777" w:rsidTr="009E2E24">
        <w:trPr>
          <w:trHeight w:val="713"/>
        </w:trPr>
        <w:tc>
          <w:tcPr>
            <w:cnfStyle w:val="001000000000" w:firstRow="0" w:lastRow="0" w:firstColumn="1" w:lastColumn="0" w:oddVBand="0" w:evenVBand="0" w:oddHBand="0" w:evenHBand="0" w:firstRowFirstColumn="0" w:firstRowLastColumn="0" w:lastRowFirstColumn="0" w:lastRowLastColumn="0"/>
            <w:tcW w:w="2518" w:type="dxa"/>
          </w:tcPr>
          <w:p w14:paraId="1DFDA88D"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Primary diagnosis</w:t>
            </w:r>
          </w:p>
          <w:p w14:paraId="2737E1DF" w14:textId="77777777" w:rsidR="007D1031" w:rsidRPr="0089336D" w:rsidRDefault="007D1031" w:rsidP="007D1031">
            <w:pPr>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Schizophrenia</w:t>
            </w:r>
          </w:p>
          <w:p w14:paraId="25E0FEC8" w14:textId="77777777" w:rsidR="007D1031" w:rsidRPr="0089336D" w:rsidRDefault="007D1031" w:rsidP="007D1031">
            <w:pPr>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Schizoaffective disorder</w:t>
            </w:r>
          </w:p>
          <w:p w14:paraId="439AFF2B" w14:textId="77777777" w:rsidR="007D1031" w:rsidRPr="0089336D" w:rsidRDefault="007D1031" w:rsidP="007D1031">
            <w:pPr>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Bipolar affective disorder</w:t>
            </w:r>
          </w:p>
          <w:p w14:paraId="2C3BFD86"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Other</w:t>
            </w:r>
          </w:p>
        </w:tc>
        <w:tc>
          <w:tcPr>
            <w:tcW w:w="2268" w:type="dxa"/>
          </w:tcPr>
          <w:p w14:paraId="1479BC8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1D43098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57 (74.0)</w:t>
            </w:r>
          </w:p>
          <w:p w14:paraId="2FD20CA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9 (11.7)</w:t>
            </w:r>
          </w:p>
          <w:p w14:paraId="283C903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3 (3.9)</w:t>
            </w:r>
          </w:p>
          <w:p w14:paraId="3674E87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8 (10.4)</w:t>
            </w:r>
          </w:p>
        </w:tc>
        <w:tc>
          <w:tcPr>
            <w:tcW w:w="2126" w:type="dxa"/>
          </w:tcPr>
          <w:p w14:paraId="3E0610D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9BFECA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60 (66.7)</w:t>
            </w:r>
          </w:p>
          <w:p w14:paraId="22E5BA00"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10 (11.1)</w:t>
            </w:r>
          </w:p>
          <w:p w14:paraId="621D5FD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9 (10.0)</w:t>
            </w:r>
          </w:p>
          <w:p w14:paraId="1BF2FD7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 (12.2)</w:t>
            </w:r>
          </w:p>
        </w:tc>
        <w:tc>
          <w:tcPr>
            <w:tcW w:w="1134" w:type="dxa"/>
          </w:tcPr>
          <w:p w14:paraId="53F2C52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3832E5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2.61 (3)</w:t>
            </w:r>
          </w:p>
        </w:tc>
        <w:tc>
          <w:tcPr>
            <w:tcW w:w="1196" w:type="dxa"/>
          </w:tcPr>
          <w:p w14:paraId="7A963F2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7102DE0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0.46</w:t>
            </w:r>
          </w:p>
        </w:tc>
      </w:tr>
      <w:tr w:rsidR="007D1031" w:rsidRPr="00F2629E" w14:paraId="5F8DBEF4" w14:textId="77777777" w:rsidTr="009E2E24">
        <w:trPr>
          <w:trHeight w:val="588"/>
        </w:trPr>
        <w:tc>
          <w:tcPr>
            <w:cnfStyle w:val="001000000000" w:firstRow="0" w:lastRow="0" w:firstColumn="1" w:lastColumn="0" w:oddVBand="0" w:evenVBand="0" w:oddHBand="0" w:evenHBand="0" w:firstRowFirstColumn="0" w:firstRowLastColumn="0" w:lastRowFirstColumn="0" w:lastRowLastColumn="0"/>
            <w:tcW w:w="2518" w:type="dxa"/>
          </w:tcPr>
          <w:p w14:paraId="6B5B0B29" w14:textId="77777777" w:rsidR="007D1031" w:rsidRPr="0089336D" w:rsidRDefault="007D1031" w:rsidP="007D1031">
            <w:pPr>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Comorbid substance misuse </w:t>
            </w:r>
          </w:p>
          <w:p w14:paraId="1EC812A4" w14:textId="77777777" w:rsidR="007D1031" w:rsidRPr="0089336D" w:rsidRDefault="007D1031" w:rsidP="007D1031">
            <w:pPr>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Yes</w:t>
            </w:r>
          </w:p>
          <w:p w14:paraId="7C7FE309" w14:textId="77777777" w:rsidR="007D1031" w:rsidRPr="0089336D" w:rsidRDefault="007D1031" w:rsidP="007D1031">
            <w:pPr>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No</w:t>
            </w:r>
          </w:p>
        </w:tc>
        <w:tc>
          <w:tcPr>
            <w:tcW w:w="2268" w:type="dxa"/>
          </w:tcPr>
          <w:p w14:paraId="5135B8B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w:t>
            </w:r>
          </w:p>
          <w:p w14:paraId="14FC4CC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E1A314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17 (22.1)</w:t>
            </w:r>
          </w:p>
          <w:p w14:paraId="3DE1597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60 (77.9)</w:t>
            </w:r>
          </w:p>
        </w:tc>
        <w:tc>
          <w:tcPr>
            <w:tcW w:w="2126" w:type="dxa"/>
          </w:tcPr>
          <w:p w14:paraId="093220E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325A66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366E48E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14 (15.6)</w:t>
            </w:r>
          </w:p>
          <w:p w14:paraId="3FEFFE0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76 (84.4)</w:t>
            </w:r>
          </w:p>
        </w:tc>
        <w:tc>
          <w:tcPr>
            <w:tcW w:w="1134" w:type="dxa"/>
          </w:tcPr>
          <w:p w14:paraId="74F0C47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3AD90A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493098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1.17 (1)</w:t>
            </w:r>
          </w:p>
        </w:tc>
        <w:tc>
          <w:tcPr>
            <w:tcW w:w="1196" w:type="dxa"/>
          </w:tcPr>
          <w:p w14:paraId="57E2002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142C85C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B15D4B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0.28</w:t>
            </w:r>
          </w:p>
        </w:tc>
      </w:tr>
      <w:tr w:rsidR="007D1031" w:rsidRPr="00F2629E" w14:paraId="106DF3FF"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5BE36E01"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Care Setting</w:t>
            </w:r>
          </w:p>
          <w:p w14:paraId="3F0014A0"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Inpatient </w:t>
            </w:r>
          </w:p>
          <w:p w14:paraId="0124060F"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Outpatient</w:t>
            </w:r>
          </w:p>
        </w:tc>
        <w:tc>
          <w:tcPr>
            <w:tcW w:w="2268" w:type="dxa"/>
          </w:tcPr>
          <w:p w14:paraId="5E092F4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168DCF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32 (41.6)</w:t>
            </w:r>
          </w:p>
          <w:p w14:paraId="4EF0D66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45 (58.4)</w:t>
            </w:r>
          </w:p>
        </w:tc>
        <w:tc>
          <w:tcPr>
            <w:tcW w:w="2126" w:type="dxa"/>
          </w:tcPr>
          <w:p w14:paraId="085EFB6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3EDE5B4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38 (42.2)</w:t>
            </w:r>
          </w:p>
          <w:p w14:paraId="7361997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52 (57.8)</w:t>
            </w:r>
          </w:p>
        </w:tc>
        <w:tc>
          <w:tcPr>
            <w:tcW w:w="1134" w:type="dxa"/>
          </w:tcPr>
          <w:p w14:paraId="0249A48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E38B1E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0.01 (1)</w:t>
            </w:r>
          </w:p>
        </w:tc>
        <w:tc>
          <w:tcPr>
            <w:tcW w:w="1196" w:type="dxa"/>
          </w:tcPr>
          <w:p w14:paraId="400E620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2D3BFB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0.93</w:t>
            </w:r>
          </w:p>
        </w:tc>
      </w:tr>
      <w:tr w:rsidR="007D1031" w:rsidRPr="00F2629E" w14:paraId="411F6585"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6536396E"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No. previous Admissions</w:t>
            </w:r>
          </w:p>
          <w:p w14:paraId="6C461FDA" w14:textId="6965E7DE" w:rsidR="007D1031" w:rsidRPr="0089336D" w:rsidRDefault="004A57F9"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Mean</w:t>
            </w:r>
            <w:r w:rsidR="007D1031" w:rsidRPr="0089336D">
              <w:rPr>
                <w:rFonts w:ascii="Times New Roman" w:hAnsi="Times New Roman" w:cs="Times New Roman"/>
                <w:iCs/>
                <w:color w:val="000000" w:themeColor="text1"/>
                <w:sz w:val="20"/>
                <w:szCs w:val="20"/>
              </w:rPr>
              <w:t>, range</w:t>
            </w:r>
          </w:p>
        </w:tc>
        <w:tc>
          <w:tcPr>
            <w:tcW w:w="2268" w:type="dxa"/>
          </w:tcPr>
          <w:p w14:paraId="5940E7C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A099C2F" w14:textId="1A7C6039" w:rsidR="007D1031" w:rsidRPr="0089336D" w:rsidRDefault="004A57F9"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3.66</w:t>
            </w:r>
            <w:r w:rsidR="007D1031" w:rsidRPr="0089336D">
              <w:rPr>
                <w:rFonts w:ascii="Times New Roman" w:hAnsi="Times New Roman" w:cs="Times New Roman"/>
                <w:iCs/>
                <w:color w:val="000000" w:themeColor="text1"/>
                <w:sz w:val="20"/>
                <w:szCs w:val="20"/>
              </w:rPr>
              <w:t>, 0-23</w:t>
            </w:r>
          </w:p>
        </w:tc>
        <w:tc>
          <w:tcPr>
            <w:tcW w:w="2126" w:type="dxa"/>
          </w:tcPr>
          <w:p w14:paraId="4DB9827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0CE6BA3" w14:textId="5E18282F" w:rsidR="007D1031" w:rsidRPr="0089336D" w:rsidRDefault="004A57F9"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3.49,</w:t>
            </w:r>
            <w:r w:rsidR="007D1031" w:rsidRPr="0089336D">
              <w:rPr>
                <w:rFonts w:ascii="Times New Roman" w:hAnsi="Times New Roman" w:cs="Times New Roman"/>
                <w:iCs/>
                <w:color w:val="000000" w:themeColor="text1"/>
                <w:sz w:val="20"/>
                <w:szCs w:val="20"/>
              </w:rPr>
              <w:t xml:space="preserve"> 0-11</w:t>
            </w:r>
          </w:p>
        </w:tc>
        <w:tc>
          <w:tcPr>
            <w:tcW w:w="1134" w:type="dxa"/>
          </w:tcPr>
          <w:p w14:paraId="6A0441B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c>
          <w:tcPr>
            <w:tcW w:w="1196" w:type="dxa"/>
          </w:tcPr>
          <w:p w14:paraId="4059690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tc>
      </w:tr>
      <w:tr w:rsidR="007D1031" w:rsidRPr="00F2629E" w14:paraId="61DBB279"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6C8684B1" w14:textId="77777777" w:rsidR="007D1031" w:rsidRPr="0089336D" w:rsidRDefault="007D1031" w:rsidP="007D1031">
            <w:pPr>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Antipsychotic switched from</w:t>
            </w:r>
          </w:p>
          <w:p w14:paraId="7F9D7149"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Oral/LAI Risperidone</w:t>
            </w:r>
          </w:p>
          <w:p w14:paraId="560FE871"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Oral/LAI Other</w:t>
            </w:r>
          </w:p>
        </w:tc>
        <w:tc>
          <w:tcPr>
            <w:tcW w:w="2268" w:type="dxa"/>
          </w:tcPr>
          <w:p w14:paraId="3B5518A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AA0BF0D"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13CE288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43 (55.8)</w:t>
            </w:r>
          </w:p>
          <w:p w14:paraId="66F5452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34 (44.2)</w:t>
            </w:r>
          </w:p>
        </w:tc>
        <w:tc>
          <w:tcPr>
            <w:tcW w:w="2126" w:type="dxa"/>
          </w:tcPr>
          <w:p w14:paraId="6A6A533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C07365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BBCFE9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33 (46.7)</w:t>
            </w:r>
          </w:p>
          <w:p w14:paraId="6C7F2C1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57 (63.3)</w:t>
            </w:r>
          </w:p>
        </w:tc>
        <w:tc>
          <w:tcPr>
            <w:tcW w:w="1134" w:type="dxa"/>
          </w:tcPr>
          <w:p w14:paraId="65CC1EC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2C6058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61CEACD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6.15 (1)</w:t>
            </w:r>
          </w:p>
        </w:tc>
        <w:tc>
          <w:tcPr>
            <w:tcW w:w="1196" w:type="dxa"/>
          </w:tcPr>
          <w:p w14:paraId="50CA633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color w:val="FF0000"/>
                <w:sz w:val="20"/>
                <w:szCs w:val="20"/>
              </w:rPr>
            </w:pPr>
          </w:p>
          <w:p w14:paraId="7F4C1E8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color w:val="FF0000"/>
                <w:sz w:val="20"/>
                <w:szCs w:val="20"/>
              </w:rPr>
            </w:pPr>
          </w:p>
          <w:p w14:paraId="263BDEB6" w14:textId="5089465E" w:rsidR="007D1031" w:rsidRPr="0089336D" w:rsidRDefault="007D1031" w:rsidP="008F66D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color w:val="000000" w:themeColor="text1"/>
                <w:sz w:val="20"/>
                <w:szCs w:val="20"/>
              </w:rPr>
            </w:pPr>
            <w:r w:rsidRPr="0089336D">
              <w:rPr>
                <w:rFonts w:ascii="Times New Roman" w:hAnsi="Times New Roman" w:cs="Times New Roman"/>
                <w:b/>
                <w:iCs/>
                <w:sz w:val="20"/>
                <w:szCs w:val="20"/>
              </w:rPr>
              <w:t>0.01</w:t>
            </w:r>
            <w:r w:rsidR="004A57F9" w:rsidRPr="0089336D">
              <w:rPr>
                <w:rFonts w:ascii="Times New Roman" w:hAnsi="Times New Roman" w:cs="Times New Roman"/>
                <w:b/>
                <w:iCs/>
                <w:sz w:val="20"/>
                <w:szCs w:val="20"/>
              </w:rPr>
              <w:t>*</w:t>
            </w:r>
          </w:p>
        </w:tc>
      </w:tr>
      <w:tr w:rsidR="007D1031" w:rsidRPr="00F2629E" w14:paraId="655688DE"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445ABB4D"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lastRenderedPageBreak/>
              <w:t>Antipsychotic switched from</w:t>
            </w:r>
          </w:p>
          <w:p w14:paraId="67D04FAA"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Oral risperidone</w:t>
            </w:r>
          </w:p>
          <w:p w14:paraId="3D8D0CAB"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Oral other</w:t>
            </w:r>
          </w:p>
          <w:p w14:paraId="672BC2C7"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LAI risperidone</w:t>
            </w:r>
          </w:p>
          <w:p w14:paraId="14DC3126"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Depot/LAI other</w:t>
            </w:r>
          </w:p>
        </w:tc>
        <w:tc>
          <w:tcPr>
            <w:tcW w:w="2268" w:type="dxa"/>
          </w:tcPr>
          <w:p w14:paraId="5E56450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EA2657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71C981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(24.7)</w:t>
            </w:r>
          </w:p>
          <w:p w14:paraId="0F02C9B4"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19 (24.7)</w:t>
            </w:r>
          </w:p>
          <w:p w14:paraId="7900A5B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24 (31.2)</w:t>
            </w:r>
          </w:p>
          <w:p w14:paraId="28E2B84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15 (19.4)</w:t>
            </w:r>
          </w:p>
        </w:tc>
        <w:tc>
          <w:tcPr>
            <w:tcW w:w="2126" w:type="dxa"/>
          </w:tcPr>
          <w:p w14:paraId="1CC417E5"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9D5641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7A6D8D2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15 (16.7)</w:t>
            </w:r>
          </w:p>
          <w:p w14:paraId="57CD50A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29 (32.2)</w:t>
            </w:r>
          </w:p>
          <w:p w14:paraId="7A9D2DE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18 (20.0)</w:t>
            </w:r>
          </w:p>
          <w:p w14:paraId="7AF6D91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28 (31.1)</w:t>
            </w:r>
          </w:p>
        </w:tc>
        <w:tc>
          <w:tcPr>
            <w:tcW w:w="1134" w:type="dxa"/>
          </w:tcPr>
          <w:p w14:paraId="6AF285F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750958DF"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02A359A1"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6.37 (3)</w:t>
            </w:r>
          </w:p>
        </w:tc>
        <w:tc>
          <w:tcPr>
            <w:tcW w:w="1196" w:type="dxa"/>
          </w:tcPr>
          <w:p w14:paraId="4FB2174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7E33FBE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2B548A9E" w14:textId="5117A5AD" w:rsidR="007D1031" w:rsidRPr="0089336D" w:rsidRDefault="004A57F9"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0.09 </w:t>
            </w:r>
          </w:p>
        </w:tc>
      </w:tr>
      <w:tr w:rsidR="007D1031" w:rsidRPr="00F2629E" w14:paraId="63612215"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43CD92B3"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Oral</w:t>
            </w:r>
          </w:p>
          <w:p w14:paraId="4081C601"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Depot/LAI</w:t>
            </w:r>
          </w:p>
        </w:tc>
        <w:tc>
          <w:tcPr>
            <w:tcW w:w="2268" w:type="dxa"/>
          </w:tcPr>
          <w:p w14:paraId="4D95DA3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38 (49.4)</w:t>
            </w:r>
          </w:p>
          <w:p w14:paraId="08E09519"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39 (50.6)</w:t>
            </w:r>
          </w:p>
        </w:tc>
        <w:tc>
          <w:tcPr>
            <w:tcW w:w="2126" w:type="dxa"/>
          </w:tcPr>
          <w:p w14:paraId="2AC486E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44 (48.9)</w:t>
            </w:r>
          </w:p>
          <w:p w14:paraId="5077DC7A"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46 (51.1)</w:t>
            </w:r>
          </w:p>
        </w:tc>
        <w:tc>
          <w:tcPr>
            <w:tcW w:w="1134" w:type="dxa"/>
          </w:tcPr>
          <w:p w14:paraId="215213A2"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3.4 (1)</w:t>
            </w:r>
          </w:p>
        </w:tc>
        <w:tc>
          <w:tcPr>
            <w:tcW w:w="1196" w:type="dxa"/>
          </w:tcPr>
          <w:p w14:paraId="64C7E320" w14:textId="13C9DBF9" w:rsidR="007D1031" w:rsidRPr="0089336D" w:rsidRDefault="004A57F9"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0.06 </w:t>
            </w:r>
          </w:p>
        </w:tc>
      </w:tr>
      <w:tr w:rsidR="007D1031" w:rsidRPr="00F2629E" w14:paraId="7452D0A9" w14:textId="77777777" w:rsidTr="009E2E24">
        <w:trPr>
          <w:trHeight w:val="144"/>
        </w:trPr>
        <w:tc>
          <w:tcPr>
            <w:cnfStyle w:val="001000000000" w:firstRow="0" w:lastRow="0" w:firstColumn="1" w:lastColumn="0" w:oddVBand="0" w:evenVBand="0" w:oddHBand="0" w:evenHBand="0" w:firstRowFirstColumn="0" w:firstRowLastColumn="0" w:lastRowFirstColumn="0" w:lastRowLastColumn="0"/>
            <w:tcW w:w="2518" w:type="dxa"/>
          </w:tcPr>
          <w:p w14:paraId="20656935"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Reasons for switching</w:t>
            </w:r>
          </w:p>
          <w:p w14:paraId="6D81C71B"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Ineffective</w:t>
            </w:r>
          </w:p>
          <w:p w14:paraId="26C04122" w14:textId="3D5D5572" w:rsidR="007D1031" w:rsidRPr="0089336D" w:rsidRDefault="008F59FF"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Adherence</w:t>
            </w:r>
          </w:p>
          <w:p w14:paraId="388F859A"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Tolerability</w:t>
            </w:r>
          </w:p>
          <w:p w14:paraId="75052D06" w14:textId="77777777" w:rsidR="007D1031" w:rsidRPr="0089336D" w:rsidRDefault="007D1031" w:rsidP="007D1031">
            <w:pPr>
              <w:jc w:val="both"/>
              <w:rPr>
                <w:rFonts w:ascii="Times New Roman" w:hAnsi="Times New Roman" w:cs="Times New Roman"/>
                <w:b w:val="0"/>
                <w:bCs w:val="0"/>
                <w:iCs/>
                <w:color w:val="000000" w:themeColor="text1"/>
                <w:sz w:val="20"/>
                <w:szCs w:val="20"/>
              </w:rPr>
            </w:pPr>
            <w:r w:rsidRPr="0089336D">
              <w:rPr>
                <w:rFonts w:ascii="Times New Roman" w:hAnsi="Times New Roman" w:cs="Times New Roman"/>
                <w:iCs/>
                <w:color w:val="000000" w:themeColor="text1"/>
                <w:sz w:val="20"/>
                <w:szCs w:val="20"/>
              </w:rPr>
              <w:t xml:space="preserve">Convenience </w:t>
            </w:r>
          </w:p>
          <w:p w14:paraId="629D3557" w14:textId="77777777" w:rsidR="007D1031" w:rsidRPr="0089336D" w:rsidRDefault="007D1031" w:rsidP="007D1031">
            <w:pPr>
              <w:jc w:val="both"/>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Other </w:t>
            </w:r>
          </w:p>
        </w:tc>
        <w:tc>
          <w:tcPr>
            <w:tcW w:w="2268" w:type="dxa"/>
          </w:tcPr>
          <w:p w14:paraId="441435A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565C1D5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5 (6.5)</w:t>
            </w:r>
          </w:p>
          <w:p w14:paraId="26DE773C"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33 (42.9)</w:t>
            </w:r>
          </w:p>
          <w:p w14:paraId="3F911077"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11 (14.3)</w:t>
            </w:r>
          </w:p>
          <w:p w14:paraId="3B316CA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16 (20.8)</w:t>
            </w:r>
          </w:p>
          <w:p w14:paraId="7221870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12 (15.5)</w:t>
            </w:r>
          </w:p>
        </w:tc>
        <w:tc>
          <w:tcPr>
            <w:tcW w:w="2126" w:type="dxa"/>
          </w:tcPr>
          <w:p w14:paraId="0B45DAE8"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11EBB52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16 (17.8)</w:t>
            </w:r>
          </w:p>
          <w:p w14:paraId="1A91357E"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38 (42.2)</w:t>
            </w:r>
          </w:p>
          <w:p w14:paraId="4FBDEF9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18 (20.0)</w:t>
            </w:r>
          </w:p>
          <w:p w14:paraId="449CBB36"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 xml:space="preserve"> 8 (8.9)</w:t>
            </w:r>
          </w:p>
          <w:p w14:paraId="4BC6D42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10 (11.1)</w:t>
            </w:r>
          </w:p>
        </w:tc>
        <w:tc>
          <w:tcPr>
            <w:tcW w:w="1134" w:type="dxa"/>
          </w:tcPr>
          <w:p w14:paraId="25C64F6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p>
          <w:p w14:paraId="43E053AB"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000000" w:themeColor="text1"/>
                <w:sz w:val="20"/>
                <w:szCs w:val="20"/>
              </w:rPr>
            </w:pPr>
            <w:r w:rsidRPr="0089336D">
              <w:rPr>
                <w:rFonts w:ascii="Times New Roman" w:hAnsi="Times New Roman" w:cs="Times New Roman"/>
                <w:iCs/>
                <w:color w:val="000000" w:themeColor="text1"/>
                <w:sz w:val="20"/>
                <w:szCs w:val="20"/>
              </w:rPr>
              <w:t>9.7 (4)</w:t>
            </w:r>
          </w:p>
        </w:tc>
        <w:tc>
          <w:tcPr>
            <w:tcW w:w="1196" w:type="dxa"/>
          </w:tcPr>
          <w:p w14:paraId="0FF6A4A3" w14:textId="77777777" w:rsidR="007D1031" w:rsidRPr="0089336D" w:rsidRDefault="007D1031" w:rsidP="007D10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color w:val="FF0000"/>
                <w:sz w:val="20"/>
                <w:szCs w:val="20"/>
              </w:rPr>
            </w:pPr>
          </w:p>
          <w:p w14:paraId="0416A8B5" w14:textId="4E240BA5" w:rsidR="007D1031" w:rsidRPr="0089336D" w:rsidRDefault="007D1031" w:rsidP="001C74E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color w:val="000000" w:themeColor="text1"/>
                <w:sz w:val="20"/>
                <w:szCs w:val="20"/>
              </w:rPr>
            </w:pPr>
            <w:r w:rsidRPr="0089336D">
              <w:rPr>
                <w:rFonts w:ascii="Times New Roman" w:hAnsi="Times New Roman" w:cs="Times New Roman"/>
                <w:b/>
                <w:bCs/>
                <w:iCs/>
                <w:sz w:val="20"/>
                <w:szCs w:val="20"/>
              </w:rPr>
              <w:t>0.05</w:t>
            </w:r>
            <w:r w:rsidR="004A57F9" w:rsidRPr="0089336D">
              <w:rPr>
                <w:rFonts w:ascii="Times New Roman" w:hAnsi="Times New Roman" w:cs="Times New Roman"/>
                <w:b/>
                <w:bCs/>
                <w:iCs/>
                <w:sz w:val="20"/>
                <w:szCs w:val="20"/>
              </w:rPr>
              <w:t>*</w:t>
            </w:r>
          </w:p>
        </w:tc>
      </w:tr>
    </w:tbl>
    <w:p w14:paraId="281BEA58" w14:textId="4D8C12D1" w:rsidR="007D1031" w:rsidRPr="0089336D" w:rsidRDefault="007D1031" w:rsidP="00734987">
      <w:pPr>
        <w:rPr>
          <w:rFonts w:ascii="Times New Roman" w:hAnsi="Times New Roman" w:cs="Times New Roman"/>
          <w:iCs/>
          <w:sz w:val="20"/>
          <w:szCs w:val="20"/>
        </w:rPr>
      </w:pPr>
    </w:p>
    <w:p w14:paraId="72D88604" w14:textId="7DBC6872" w:rsidR="004A57F9" w:rsidRPr="0089336D" w:rsidRDefault="007D1031" w:rsidP="004A57F9">
      <w:pPr>
        <w:jc w:val="both"/>
        <w:rPr>
          <w:rFonts w:ascii="Times New Roman" w:hAnsi="Times New Roman" w:cs="Times New Roman"/>
          <w:iCs/>
          <w:sz w:val="20"/>
          <w:szCs w:val="20"/>
        </w:rPr>
      </w:pPr>
      <w:r w:rsidRPr="0089336D">
        <w:rPr>
          <w:rFonts w:ascii="Times New Roman" w:hAnsi="Times New Roman" w:cs="Times New Roman"/>
          <w:iCs/>
          <w:sz w:val="20"/>
          <w:szCs w:val="20"/>
        </w:rPr>
        <w:t>LAI Long Acting Injectable</w:t>
      </w:r>
      <w:r w:rsidR="00B87B5D">
        <w:rPr>
          <w:rFonts w:ascii="Times New Roman" w:hAnsi="Times New Roman" w:cs="Times New Roman"/>
          <w:iCs/>
          <w:sz w:val="20"/>
          <w:szCs w:val="20"/>
        </w:rPr>
        <w:t xml:space="preserve">, </w:t>
      </w:r>
      <w:r w:rsidR="004A57F9" w:rsidRPr="0089336D">
        <w:rPr>
          <w:rFonts w:ascii="Times New Roman" w:hAnsi="Times New Roman" w:cs="Times New Roman"/>
          <w:iCs/>
          <w:sz w:val="20"/>
          <w:szCs w:val="20"/>
        </w:rPr>
        <w:t>PP1M</w:t>
      </w:r>
      <w:r w:rsidR="00B87B5D">
        <w:rPr>
          <w:rFonts w:ascii="Times New Roman" w:hAnsi="Times New Roman" w:cs="Times New Roman"/>
          <w:iCs/>
          <w:sz w:val="20"/>
          <w:szCs w:val="20"/>
        </w:rPr>
        <w:t xml:space="preserve"> </w:t>
      </w:r>
      <w:r w:rsidR="004A57F9" w:rsidRPr="0089336D">
        <w:rPr>
          <w:rFonts w:ascii="Times New Roman" w:hAnsi="Times New Roman" w:cs="Times New Roman"/>
          <w:iCs/>
          <w:sz w:val="20"/>
          <w:szCs w:val="20"/>
        </w:rPr>
        <w:t>Paliperidone Palimitate</w:t>
      </w:r>
      <w:r w:rsidR="00734987" w:rsidRPr="0089336D">
        <w:rPr>
          <w:rFonts w:ascii="Times New Roman" w:hAnsi="Times New Roman" w:cs="Times New Roman"/>
          <w:iCs/>
          <w:sz w:val="20"/>
          <w:szCs w:val="20"/>
        </w:rPr>
        <w:t xml:space="preserve"> once-monthly</w:t>
      </w:r>
      <w:r w:rsidR="00B87B5D">
        <w:rPr>
          <w:rFonts w:ascii="Times New Roman" w:hAnsi="Times New Roman" w:cs="Times New Roman"/>
          <w:iCs/>
          <w:sz w:val="20"/>
          <w:szCs w:val="20"/>
        </w:rPr>
        <w:t xml:space="preserve">, </w:t>
      </w:r>
      <w:r w:rsidR="004A57F9" w:rsidRPr="0089336D">
        <w:rPr>
          <w:rFonts w:ascii="Times New Roman" w:hAnsi="Times New Roman" w:cs="Times New Roman"/>
          <w:iCs/>
          <w:sz w:val="20"/>
          <w:szCs w:val="20"/>
        </w:rPr>
        <w:t>SD Standard Deviation</w:t>
      </w:r>
    </w:p>
    <w:p w14:paraId="0ABFB9E8" w14:textId="2DE336ED" w:rsidR="007D2BC0" w:rsidRDefault="004A57F9" w:rsidP="007F1E72">
      <w:pPr>
        <w:jc w:val="both"/>
        <w:rPr>
          <w:rFonts w:ascii="Times New Roman" w:hAnsi="Times New Roman" w:cs="Times New Roman"/>
          <w:iCs/>
          <w:sz w:val="20"/>
          <w:szCs w:val="20"/>
        </w:rPr>
      </w:pPr>
      <w:r w:rsidRPr="0089336D">
        <w:rPr>
          <w:rFonts w:ascii="Times New Roman" w:hAnsi="Times New Roman" w:cs="Times New Roman"/>
          <w:iCs/>
          <w:sz w:val="20"/>
          <w:szCs w:val="20"/>
        </w:rPr>
        <w:t>*denotes statistically significant at p=0.05 level</w:t>
      </w:r>
    </w:p>
    <w:p w14:paraId="3F9E6264" w14:textId="165F2AB3" w:rsidR="00C45D1D" w:rsidRDefault="00B87B5D" w:rsidP="007F1E72">
      <w:pPr>
        <w:jc w:val="both"/>
        <w:rPr>
          <w:rFonts w:ascii="Times New Roman" w:hAnsi="Times New Roman" w:cs="Times New Roman"/>
          <w:color w:val="000000" w:themeColor="text1"/>
          <w:sz w:val="20"/>
          <w:szCs w:val="20"/>
        </w:rPr>
      </w:pPr>
      <w:r>
        <w:rPr>
          <w:rFonts w:ascii="Times New Roman" w:hAnsi="Times New Roman" w:cs="Times New Roman"/>
          <w:iCs/>
          <w:sz w:val="20"/>
          <w:szCs w:val="20"/>
        </w:rPr>
        <w:t xml:space="preserve">d. Data is presented as a table showing </w:t>
      </w:r>
      <w:r>
        <w:rPr>
          <w:rFonts w:ascii="Times New Roman" w:hAnsi="Times New Roman" w:cs="Times New Roman"/>
          <w:color w:val="000000" w:themeColor="text1"/>
          <w:sz w:val="20"/>
          <w:szCs w:val="20"/>
        </w:rPr>
        <w:t>d</w:t>
      </w:r>
      <w:r w:rsidRPr="00F96CE2">
        <w:rPr>
          <w:rFonts w:ascii="Times New Roman" w:hAnsi="Times New Roman" w:cs="Times New Roman"/>
          <w:color w:val="000000" w:themeColor="text1"/>
          <w:sz w:val="20"/>
          <w:szCs w:val="20"/>
        </w:rPr>
        <w:t xml:space="preserve">emographical and clinical characteristics of patients </w:t>
      </w:r>
      <w:r>
        <w:rPr>
          <w:rFonts w:ascii="Times New Roman" w:hAnsi="Times New Roman" w:cs="Times New Roman"/>
          <w:color w:val="000000" w:themeColor="text1"/>
          <w:sz w:val="20"/>
          <w:szCs w:val="20"/>
        </w:rPr>
        <w:t>according to those who continued and discontinued</w:t>
      </w:r>
    </w:p>
    <w:p w14:paraId="5BF5E580" w14:textId="63EC68F2" w:rsidR="00B87B5D" w:rsidRDefault="00B87B5D" w:rsidP="007F1E72">
      <w:pPr>
        <w:jc w:val="both"/>
        <w:rPr>
          <w:rFonts w:ascii="Times New Roman" w:hAnsi="Times New Roman" w:cs="Times New Roman"/>
          <w:iCs/>
          <w:sz w:val="20"/>
          <w:szCs w:val="20"/>
        </w:rPr>
      </w:pPr>
      <w:r>
        <w:rPr>
          <w:rFonts w:ascii="Times New Roman" w:hAnsi="Times New Roman" w:cs="Times New Roman"/>
          <w:color w:val="000000" w:themeColor="text1"/>
          <w:sz w:val="20"/>
          <w:szCs w:val="20"/>
        </w:rPr>
        <w:t>e. Chi Squared calculation with degrees of freedom (df)</w:t>
      </w:r>
    </w:p>
    <w:p w14:paraId="61FC48B0" w14:textId="77777777" w:rsidR="00657031" w:rsidRDefault="00657031" w:rsidP="00D324CC">
      <w:pPr>
        <w:pStyle w:val="Heading2"/>
        <w:rPr>
          <w:rFonts w:ascii="Times New Roman" w:eastAsiaTheme="minorHAnsi" w:hAnsi="Times New Roman" w:cs="Times New Roman"/>
          <w:iCs/>
          <w:color w:val="auto"/>
          <w:sz w:val="20"/>
          <w:szCs w:val="20"/>
        </w:rPr>
      </w:pPr>
    </w:p>
    <w:p w14:paraId="44817258" w14:textId="77777777" w:rsidR="00657031" w:rsidRDefault="00657031" w:rsidP="00D324CC">
      <w:pPr>
        <w:pStyle w:val="Heading2"/>
        <w:rPr>
          <w:rFonts w:ascii="Times New Roman" w:eastAsiaTheme="minorHAnsi" w:hAnsi="Times New Roman" w:cs="Times New Roman"/>
          <w:iCs/>
          <w:color w:val="auto"/>
          <w:sz w:val="20"/>
          <w:szCs w:val="20"/>
        </w:rPr>
      </w:pPr>
    </w:p>
    <w:p w14:paraId="397CD4E4" w14:textId="77777777" w:rsidR="00657031" w:rsidRDefault="00657031" w:rsidP="00D324CC">
      <w:pPr>
        <w:pStyle w:val="Heading2"/>
        <w:rPr>
          <w:rFonts w:ascii="Times New Roman" w:eastAsiaTheme="minorHAnsi" w:hAnsi="Times New Roman" w:cs="Times New Roman"/>
          <w:iCs/>
          <w:color w:val="auto"/>
          <w:sz w:val="20"/>
          <w:szCs w:val="20"/>
        </w:rPr>
      </w:pPr>
    </w:p>
    <w:p w14:paraId="7051C516" w14:textId="77777777" w:rsidR="00657031" w:rsidRDefault="00657031" w:rsidP="00D324CC">
      <w:pPr>
        <w:pStyle w:val="Heading2"/>
        <w:rPr>
          <w:rFonts w:ascii="Times New Roman" w:eastAsiaTheme="minorHAnsi" w:hAnsi="Times New Roman" w:cs="Times New Roman"/>
          <w:iCs/>
          <w:color w:val="auto"/>
          <w:sz w:val="20"/>
          <w:szCs w:val="20"/>
        </w:rPr>
      </w:pPr>
    </w:p>
    <w:p w14:paraId="4C17CD21" w14:textId="77777777" w:rsidR="00657031" w:rsidRDefault="00657031" w:rsidP="00D324CC">
      <w:pPr>
        <w:pStyle w:val="Heading2"/>
        <w:rPr>
          <w:rFonts w:ascii="Times New Roman" w:eastAsiaTheme="minorHAnsi" w:hAnsi="Times New Roman" w:cs="Times New Roman"/>
          <w:iCs/>
          <w:color w:val="auto"/>
          <w:sz w:val="20"/>
          <w:szCs w:val="20"/>
        </w:rPr>
      </w:pPr>
    </w:p>
    <w:p w14:paraId="16D12E1D" w14:textId="77777777" w:rsidR="00657031" w:rsidRDefault="00657031" w:rsidP="00D324CC">
      <w:pPr>
        <w:pStyle w:val="Heading2"/>
        <w:rPr>
          <w:rFonts w:ascii="Times New Roman" w:eastAsiaTheme="minorHAnsi" w:hAnsi="Times New Roman" w:cs="Times New Roman"/>
          <w:iCs/>
          <w:color w:val="auto"/>
          <w:sz w:val="20"/>
          <w:szCs w:val="20"/>
        </w:rPr>
      </w:pPr>
    </w:p>
    <w:p w14:paraId="704A397B" w14:textId="1AD044F7" w:rsidR="009E2E24" w:rsidRDefault="009E2E24" w:rsidP="00D324CC">
      <w:pPr>
        <w:pStyle w:val="Heading2"/>
        <w:rPr>
          <w:rFonts w:ascii="Calibri" w:hAnsi="Calibri" w:cs="Calibri"/>
          <w:color w:val="000000" w:themeColor="text1"/>
          <w:sz w:val="22"/>
          <w:szCs w:val="22"/>
        </w:rPr>
      </w:pPr>
      <w:r w:rsidRPr="005E008A">
        <w:rPr>
          <w:rFonts w:ascii="Calibri" w:hAnsi="Calibri" w:cs="Calibri"/>
          <w:b/>
          <w:color w:val="000000" w:themeColor="text1"/>
          <w:sz w:val="22"/>
          <w:szCs w:val="22"/>
        </w:rPr>
        <w:t>Fig 1</w:t>
      </w:r>
      <w:r w:rsidRPr="005E008A">
        <w:rPr>
          <w:rFonts w:ascii="Calibri" w:hAnsi="Calibri" w:cs="Calibri"/>
          <w:color w:val="000000" w:themeColor="text1"/>
          <w:sz w:val="22"/>
          <w:szCs w:val="22"/>
        </w:rPr>
        <w:t xml:space="preserve"> Mean number</w:t>
      </w:r>
      <w:r>
        <w:rPr>
          <w:rFonts w:ascii="Calibri" w:hAnsi="Calibri" w:cs="Calibri"/>
          <w:color w:val="000000" w:themeColor="text1"/>
          <w:sz w:val="22"/>
          <w:szCs w:val="22"/>
        </w:rPr>
        <w:t xml:space="preserve"> of</w:t>
      </w:r>
      <w:r w:rsidRPr="005E008A">
        <w:rPr>
          <w:rFonts w:ascii="Calibri" w:hAnsi="Calibri" w:cs="Calibri"/>
          <w:color w:val="000000" w:themeColor="text1"/>
          <w:sz w:val="22"/>
          <w:szCs w:val="22"/>
        </w:rPr>
        <w:t xml:space="preserve"> admissions per year in all patient group (n= 77) and schizophrenia group (n= 57) in the 5 yea</w:t>
      </w:r>
      <w:r>
        <w:rPr>
          <w:rFonts w:ascii="Calibri" w:hAnsi="Calibri" w:cs="Calibri"/>
          <w:color w:val="000000" w:themeColor="text1"/>
          <w:sz w:val="22"/>
          <w:szCs w:val="22"/>
        </w:rPr>
        <w:t>rs pre and post PP1M initiation</w:t>
      </w:r>
      <w:r w:rsidR="00D324CC">
        <w:rPr>
          <w:rFonts w:ascii="Calibri" w:hAnsi="Calibri" w:cs="Calibri"/>
          <w:color w:val="000000" w:themeColor="text1"/>
          <w:sz w:val="22"/>
          <w:szCs w:val="22"/>
        </w:rPr>
        <w:t xml:space="preserve"> </w:t>
      </w:r>
    </w:p>
    <w:p w14:paraId="42F2862E" w14:textId="77777777" w:rsidR="00657031" w:rsidRPr="00657031" w:rsidRDefault="00657031" w:rsidP="00657031"/>
    <w:p w14:paraId="1BD2F4A9" w14:textId="2A9EE46F" w:rsidR="009E2E24" w:rsidRDefault="009E2E24" w:rsidP="007F1E72">
      <w:pPr>
        <w:jc w:val="both"/>
        <w:rPr>
          <w:rFonts w:ascii="Times New Roman" w:hAnsi="Times New Roman" w:cs="Times New Roman"/>
          <w:iCs/>
          <w:sz w:val="20"/>
          <w:szCs w:val="20"/>
        </w:rPr>
      </w:pPr>
      <w:r w:rsidRPr="009E2E24">
        <w:rPr>
          <w:rFonts w:ascii="Calibri" w:eastAsia="Calibri" w:hAnsi="Calibri" w:cs="Times New Roman"/>
          <w:noProof/>
          <w:vertAlign w:val="superscript"/>
          <w:lang w:eastAsia="en-GB"/>
        </w:rPr>
        <w:drawing>
          <wp:inline distT="0" distB="0" distL="0" distR="0" wp14:anchorId="2CAE4932" wp14:editId="353AD8F5">
            <wp:extent cx="4284000" cy="2160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4000" cy="2160000"/>
                    </a:xfrm>
                    <a:prstGeom prst="rect">
                      <a:avLst/>
                    </a:prstGeom>
                    <a:noFill/>
                  </pic:spPr>
                </pic:pic>
              </a:graphicData>
            </a:graphic>
          </wp:inline>
        </w:drawing>
      </w:r>
    </w:p>
    <w:p w14:paraId="64E4C0B4" w14:textId="77777777" w:rsidR="00657031" w:rsidRDefault="00657031" w:rsidP="00D324CC">
      <w:pPr>
        <w:rPr>
          <w:b/>
          <w:color w:val="000000"/>
        </w:rPr>
      </w:pPr>
    </w:p>
    <w:p w14:paraId="3DCFC5F9" w14:textId="77777777" w:rsidR="00657031" w:rsidRDefault="00657031" w:rsidP="00D324CC">
      <w:pPr>
        <w:rPr>
          <w:b/>
          <w:color w:val="000000"/>
        </w:rPr>
      </w:pPr>
    </w:p>
    <w:p w14:paraId="376942A6" w14:textId="3C23937E" w:rsidR="00657031" w:rsidRDefault="00657031" w:rsidP="00D324CC">
      <w:pPr>
        <w:rPr>
          <w:b/>
          <w:color w:val="000000"/>
        </w:rPr>
      </w:pPr>
    </w:p>
    <w:p w14:paraId="6BFBCCA0" w14:textId="7A30A650" w:rsidR="009E2E24" w:rsidRPr="00D324CC" w:rsidRDefault="00D324CC" w:rsidP="00D324CC">
      <w:pPr>
        <w:rPr>
          <w:color w:val="000000"/>
        </w:rPr>
      </w:pPr>
      <w:r w:rsidRPr="00706C74">
        <w:rPr>
          <w:b/>
          <w:color w:val="000000"/>
        </w:rPr>
        <w:lastRenderedPageBreak/>
        <w:t>Fig 2</w:t>
      </w:r>
      <w:r w:rsidRPr="00706C74">
        <w:rPr>
          <w:color w:val="000000"/>
        </w:rPr>
        <w:t xml:space="preserve"> Total mean number admissions in 5 years pre and post PP1M initiation</w:t>
      </w:r>
    </w:p>
    <w:p w14:paraId="492BBFA1" w14:textId="338FD0B0" w:rsidR="00657031" w:rsidRPr="00657031" w:rsidRDefault="00D324CC" w:rsidP="00657031">
      <w:pPr>
        <w:jc w:val="both"/>
        <w:rPr>
          <w:rFonts w:ascii="Times New Roman" w:hAnsi="Times New Roman" w:cs="Times New Roman"/>
          <w:iCs/>
          <w:sz w:val="20"/>
          <w:szCs w:val="20"/>
        </w:rPr>
      </w:pPr>
      <w:r>
        <w:rPr>
          <w:noProof/>
          <w:lang w:eastAsia="en-GB"/>
        </w:rPr>
        <w:drawing>
          <wp:inline distT="0" distB="0" distL="0" distR="0" wp14:anchorId="081B0079" wp14:editId="651484F9">
            <wp:extent cx="4282656" cy="211587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2 final.png"/>
                    <pic:cNvPicPr/>
                  </pic:nvPicPr>
                  <pic:blipFill>
                    <a:blip r:embed="rId15">
                      <a:extLst>
                        <a:ext uri="{28A0092B-C50C-407E-A947-70E740481C1C}">
                          <a14:useLocalDpi xmlns:a14="http://schemas.microsoft.com/office/drawing/2010/main" val="0"/>
                        </a:ext>
                      </a:extLst>
                    </a:blip>
                    <a:stretch>
                      <a:fillRect/>
                    </a:stretch>
                  </pic:blipFill>
                  <pic:spPr>
                    <a:xfrm>
                      <a:off x="0" y="0"/>
                      <a:ext cx="4298734" cy="2123822"/>
                    </a:xfrm>
                    <a:prstGeom prst="rect">
                      <a:avLst/>
                    </a:prstGeom>
                  </pic:spPr>
                </pic:pic>
              </a:graphicData>
            </a:graphic>
          </wp:inline>
        </w:drawing>
      </w:r>
    </w:p>
    <w:p w14:paraId="6A195459" w14:textId="4719F07D" w:rsidR="00657031" w:rsidRPr="005E008A" w:rsidRDefault="00657031" w:rsidP="00657031">
      <w:pPr>
        <w:pStyle w:val="Heading2"/>
        <w:rPr>
          <w:rFonts w:ascii="Calibri" w:hAnsi="Calibri" w:cs="Calibri"/>
          <w:color w:val="000000" w:themeColor="text1"/>
          <w:sz w:val="22"/>
          <w:szCs w:val="22"/>
        </w:rPr>
      </w:pPr>
      <w:r w:rsidRPr="005E008A">
        <w:rPr>
          <w:rFonts w:ascii="Calibri" w:hAnsi="Calibri" w:cs="Calibri"/>
          <w:b/>
          <w:color w:val="000000" w:themeColor="text1"/>
          <w:sz w:val="22"/>
          <w:szCs w:val="22"/>
        </w:rPr>
        <w:t>Fig</w:t>
      </w:r>
      <w:r>
        <w:rPr>
          <w:rFonts w:ascii="Calibri" w:hAnsi="Calibri" w:cs="Calibri"/>
          <w:b/>
          <w:color w:val="000000" w:themeColor="text1"/>
          <w:sz w:val="22"/>
          <w:szCs w:val="22"/>
        </w:rPr>
        <w:t xml:space="preserve"> 3</w:t>
      </w:r>
      <w:r w:rsidRPr="005E008A">
        <w:rPr>
          <w:rFonts w:ascii="Calibri" w:hAnsi="Calibri" w:cs="Calibri"/>
          <w:color w:val="000000" w:themeColor="text1"/>
          <w:sz w:val="22"/>
          <w:szCs w:val="22"/>
        </w:rPr>
        <w:t xml:space="preserve"> Mean </w:t>
      </w:r>
      <w:r>
        <w:rPr>
          <w:rFonts w:ascii="Calibri" w:hAnsi="Calibri" w:cs="Calibri"/>
          <w:color w:val="000000" w:themeColor="text1"/>
          <w:sz w:val="22"/>
          <w:szCs w:val="22"/>
        </w:rPr>
        <w:t>length of</w:t>
      </w:r>
      <w:r w:rsidRPr="005E008A">
        <w:rPr>
          <w:rFonts w:ascii="Calibri" w:hAnsi="Calibri" w:cs="Calibri"/>
          <w:color w:val="000000" w:themeColor="text1"/>
          <w:sz w:val="22"/>
          <w:szCs w:val="22"/>
        </w:rPr>
        <w:t xml:space="preserve"> admissions per year in all patient group (n= 77) and schizophrenia group (n= 57) in the 5 yea</w:t>
      </w:r>
      <w:r>
        <w:rPr>
          <w:rFonts w:ascii="Calibri" w:hAnsi="Calibri" w:cs="Calibri"/>
          <w:color w:val="000000" w:themeColor="text1"/>
          <w:sz w:val="22"/>
          <w:szCs w:val="22"/>
        </w:rPr>
        <w:t>rs pre and post PP1M initiation</w:t>
      </w:r>
    </w:p>
    <w:p w14:paraId="7B22AF16" w14:textId="68C5CF85" w:rsidR="00657031" w:rsidRDefault="00657031" w:rsidP="00657031">
      <w:pPr>
        <w:jc w:val="both"/>
        <w:rPr>
          <w:noProof/>
          <w:lang w:eastAsia="en-GB"/>
        </w:rPr>
      </w:pPr>
      <w:r>
        <w:br w:type="textWrapping" w:clear="all"/>
      </w:r>
    </w:p>
    <w:p w14:paraId="41975BDD" w14:textId="1B867C27" w:rsidR="00657031" w:rsidRPr="00657031" w:rsidRDefault="00657031" w:rsidP="00657031">
      <w:pPr>
        <w:jc w:val="both"/>
        <w:rPr>
          <w:rFonts w:ascii="Times New Roman" w:hAnsi="Times New Roman" w:cs="Times New Roman"/>
          <w:iCs/>
          <w:sz w:val="20"/>
          <w:szCs w:val="20"/>
        </w:rPr>
      </w:pPr>
      <w:r>
        <w:rPr>
          <w:noProof/>
          <w:lang w:eastAsia="en-GB"/>
        </w:rPr>
        <w:drawing>
          <wp:inline distT="0" distB="0" distL="0" distR="0" wp14:anchorId="24CEE8E9" wp14:editId="3AC0AFE0">
            <wp:extent cx="4282692" cy="208398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8208" cy="2096397"/>
                    </a:xfrm>
                    <a:prstGeom prst="rect">
                      <a:avLst/>
                    </a:prstGeom>
                    <a:noFill/>
                  </pic:spPr>
                </pic:pic>
              </a:graphicData>
            </a:graphic>
          </wp:inline>
        </w:drawing>
      </w:r>
    </w:p>
    <w:p w14:paraId="49E064BD" w14:textId="09489C0D" w:rsidR="00D324CC" w:rsidRPr="00657031" w:rsidRDefault="00657031" w:rsidP="00657031">
      <w:pPr>
        <w:rPr>
          <w:color w:val="000000"/>
        </w:rPr>
      </w:pPr>
      <w:r w:rsidRPr="00657031">
        <w:rPr>
          <w:b/>
          <w:color w:val="000000"/>
        </w:rPr>
        <w:t>Fig 4</w:t>
      </w:r>
      <w:r w:rsidRPr="0004520C">
        <w:rPr>
          <w:color w:val="000000"/>
        </w:rPr>
        <w:t xml:space="preserve"> Total mean length of admissions in 5 years pre and post PP1M initiation </w:t>
      </w:r>
    </w:p>
    <w:p w14:paraId="73378CD3" w14:textId="755208D1" w:rsidR="00D324CC" w:rsidRDefault="00657031" w:rsidP="007F1E72">
      <w:pPr>
        <w:jc w:val="both"/>
        <w:rPr>
          <w:rFonts w:ascii="Times New Roman" w:hAnsi="Times New Roman" w:cs="Times New Roman"/>
          <w:iCs/>
          <w:sz w:val="20"/>
          <w:szCs w:val="20"/>
        </w:rPr>
      </w:pPr>
      <w:r>
        <w:rPr>
          <w:noProof/>
          <w:lang w:eastAsia="en-GB"/>
        </w:rPr>
        <w:drawing>
          <wp:inline distT="0" distB="0" distL="0" distR="0" wp14:anchorId="672934A8" wp14:editId="3F674020">
            <wp:extent cx="4283710" cy="237106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4 final.png"/>
                    <pic:cNvPicPr/>
                  </pic:nvPicPr>
                  <pic:blipFill>
                    <a:blip r:embed="rId17">
                      <a:extLst>
                        <a:ext uri="{28A0092B-C50C-407E-A947-70E740481C1C}">
                          <a14:useLocalDpi xmlns:a14="http://schemas.microsoft.com/office/drawing/2010/main" val="0"/>
                        </a:ext>
                      </a:extLst>
                    </a:blip>
                    <a:stretch>
                      <a:fillRect/>
                    </a:stretch>
                  </pic:blipFill>
                  <pic:spPr>
                    <a:xfrm>
                      <a:off x="0" y="0"/>
                      <a:ext cx="4292910" cy="2376153"/>
                    </a:xfrm>
                    <a:prstGeom prst="rect">
                      <a:avLst/>
                    </a:prstGeom>
                  </pic:spPr>
                </pic:pic>
              </a:graphicData>
            </a:graphic>
          </wp:inline>
        </w:drawing>
      </w:r>
    </w:p>
    <w:p w14:paraId="6AC9AA2E" w14:textId="729E15CF" w:rsidR="00D324CC" w:rsidRDefault="00D324CC" w:rsidP="007F1E72">
      <w:pPr>
        <w:jc w:val="both"/>
        <w:rPr>
          <w:rFonts w:ascii="Times New Roman" w:hAnsi="Times New Roman" w:cs="Times New Roman"/>
          <w:iCs/>
          <w:sz w:val="20"/>
          <w:szCs w:val="20"/>
        </w:rPr>
      </w:pPr>
    </w:p>
    <w:p w14:paraId="00BEDC79" w14:textId="21367D58" w:rsidR="006103A8" w:rsidRDefault="00C45D1D" w:rsidP="007F1E72">
      <w:pPr>
        <w:jc w:val="both"/>
        <w:rPr>
          <w:rFonts w:ascii="Times New Roman" w:hAnsi="Times New Roman" w:cs="Times New Roman"/>
          <w:iCs/>
          <w:sz w:val="20"/>
          <w:szCs w:val="20"/>
        </w:rPr>
      </w:pPr>
      <w:r>
        <w:rPr>
          <w:rFonts w:ascii="Times New Roman" w:hAnsi="Times New Roman" w:cs="Times New Roman"/>
          <w:iCs/>
          <w:sz w:val="20"/>
          <w:szCs w:val="20"/>
        </w:rPr>
        <w:lastRenderedPageBreak/>
        <w:t>Figure captions</w:t>
      </w:r>
    </w:p>
    <w:p w14:paraId="2B7572CF" w14:textId="3FFFD932" w:rsidR="006103A8" w:rsidRDefault="00BE5954" w:rsidP="007F1E72">
      <w:pPr>
        <w:jc w:val="both"/>
        <w:rPr>
          <w:rFonts w:ascii="Times New Roman" w:hAnsi="Times New Roman" w:cs="Times New Roman"/>
          <w:color w:val="000000"/>
          <w:sz w:val="20"/>
          <w:szCs w:val="20"/>
        </w:rPr>
      </w:pPr>
      <w:r w:rsidRPr="0089336D">
        <w:rPr>
          <w:rFonts w:ascii="Times New Roman" w:hAnsi="Times New Roman" w:cs="Times New Roman"/>
          <w:b/>
          <w:iCs/>
          <w:sz w:val="20"/>
          <w:szCs w:val="20"/>
        </w:rPr>
        <w:t>Fig 1</w:t>
      </w:r>
      <w:r w:rsidR="006103A8" w:rsidRPr="003B4F46">
        <w:rPr>
          <w:rFonts w:ascii="Times New Roman" w:hAnsi="Times New Roman" w:cs="Times New Roman"/>
          <w:iCs/>
          <w:sz w:val="20"/>
          <w:szCs w:val="20"/>
        </w:rPr>
        <w:t xml:space="preserve"> </w:t>
      </w:r>
      <w:r w:rsidR="006103A8" w:rsidRPr="0089336D">
        <w:rPr>
          <w:rFonts w:ascii="Times New Roman" w:hAnsi="Times New Roman" w:cs="Times New Roman"/>
          <w:color w:val="000000"/>
          <w:sz w:val="20"/>
          <w:szCs w:val="20"/>
        </w:rPr>
        <w:t>Mean number of admissions per year in all patient group (n= 77) and schizophrenia group (n= 57) in the 5 years pre and post PP1M initiation</w:t>
      </w:r>
      <w:r>
        <w:rPr>
          <w:rStyle w:val="FootnoteReference"/>
          <w:rFonts w:ascii="Times New Roman" w:hAnsi="Times New Roman" w:cs="Times New Roman"/>
          <w:color w:val="000000"/>
          <w:sz w:val="20"/>
          <w:szCs w:val="20"/>
        </w:rPr>
        <w:footnoteReference w:id="1"/>
      </w:r>
      <w:r>
        <w:rPr>
          <w:rStyle w:val="FootnoteReference"/>
          <w:rFonts w:ascii="Times New Roman" w:hAnsi="Times New Roman" w:cs="Times New Roman"/>
          <w:color w:val="000000"/>
          <w:sz w:val="20"/>
          <w:szCs w:val="20"/>
        </w:rPr>
        <w:footnoteReference w:id="2"/>
      </w:r>
    </w:p>
    <w:p w14:paraId="329B6BCD" w14:textId="211D47BE" w:rsidR="00BE5954" w:rsidRPr="0089336D" w:rsidRDefault="00BE5954" w:rsidP="007F1E7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all patient group are represented in blue and the schizophrenia group in grey. </w:t>
      </w:r>
    </w:p>
    <w:p w14:paraId="0898EDFA" w14:textId="553C2FB3" w:rsidR="006103A8" w:rsidRDefault="00A8057D" w:rsidP="007F1E72">
      <w:pPr>
        <w:jc w:val="both"/>
        <w:rPr>
          <w:rFonts w:ascii="Times New Roman" w:hAnsi="Times New Roman" w:cs="Times New Roman"/>
          <w:color w:val="000000"/>
          <w:sz w:val="20"/>
          <w:szCs w:val="20"/>
        </w:rPr>
      </w:pPr>
      <w:r w:rsidRPr="0089336D">
        <w:rPr>
          <w:rFonts w:ascii="Times New Roman" w:hAnsi="Times New Roman" w:cs="Times New Roman"/>
          <w:b/>
          <w:color w:val="000000"/>
          <w:sz w:val="20"/>
          <w:szCs w:val="20"/>
        </w:rPr>
        <w:t>Fig</w:t>
      </w:r>
      <w:r w:rsidR="006103A8" w:rsidRPr="0089336D">
        <w:rPr>
          <w:rFonts w:ascii="Times New Roman" w:hAnsi="Times New Roman" w:cs="Times New Roman"/>
          <w:b/>
          <w:color w:val="000000"/>
          <w:sz w:val="20"/>
          <w:szCs w:val="20"/>
        </w:rPr>
        <w:t xml:space="preserve"> 2</w:t>
      </w:r>
      <w:r w:rsidR="006103A8" w:rsidRPr="0089336D">
        <w:rPr>
          <w:rFonts w:ascii="Times New Roman" w:hAnsi="Times New Roman" w:cs="Times New Roman"/>
          <w:color w:val="000000"/>
          <w:sz w:val="20"/>
          <w:szCs w:val="20"/>
        </w:rPr>
        <w:t xml:space="preserve"> Total mean number admissions in 5 years pre and post PP1M initiation in all patient group (n= 77) and schizophrenia group (n= 57)</w:t>
      </w:r>
      <w:r w:rsidR="000041CE" w:rsidRPr="009E2E24">
        <w:rPr>
          <w:rFonts w:ascii="Times New Roman" w:hAnsi="Times New Roman" w:cs="Times New Roman"/>
          <w:color w:val="000000"/>
          <w:sz w:val="20"/>
          <w:szCs w:val="20"/>
          <w:vertAlign w:val="superscript"/>
        </w:rPr>
        <w:t>e</w:t>
      </w:r>
    </w:p>
    <w:p w14:paraId="23A1F453" w14:textId="600179B1" w:rsidR="00BE5954" w:rsidRPr="0089336D" w:rsidRDefault="00BE5954" w:rsidP="007F1E72">
      <w:pPr>
        <w:jc w:val="both"/>
        <w:rPr>
          <w:rFonts w:ascii="Times New Roman" w:hAnsi="Times New Roman" w:cs="Times New Roman"/>
          <w:color w:val="000000"/>
          <w:sz w:val="20"/>
          <w:szCs w:val="20"/>
        </w:rPr>
      </w:pPr>
      <w:r>
        <w:rPr>
          <w:rFonts w:ascii="Times New Roman" w:hAnsi="Times New Roman" w:cs="Times New Roman"/>
          <w:color w:val="000000"/>
          <w:sz w:val="20"/>
          <w:szCs w:val="20"/>
        </w:rPr>
        <w:t>The all patient group who continued are repres</w:t>
      </w:r>
      <w:r w:rsidR="00692DF2">
        <w:rPr>
          <w:rFonts w:ascii="Times New Roman" w:hAnsi="Times New Roman" w:cs="Times New Roman"/>
          <w:color w:val="000000"/>
          <w:sz w:val="20"/>
          <w:szCs w:val="20"/>
        </w:rPr>
        <w:t>ented in blue and those who discontinued are represented in grey. T</w:t>
      </w:r>
      <w:r>
        <w:rPr>
          <w:rFonts w:ascii="Times New Roman" w:hAnsi="Times New Roman" w:cs="Times New Roman"/>
          <w:color w:val="000000"/>
          <w:sz w:val="20"/>
          <w:szCs w:val="20"/>
        </w:rPr>
        <w:t xml:space="preserve">he schizophrenia group who continued are represented </w:t>
      </w:r>
      <w:r w:rsidR="00692DF2">
        <w:rPr>
          <w:rFonts w:ascii="Times New Roman" w:hAnsi="Times New Roman" w:cs="Times New Roman"/>
          <w:color w:val="000000"/>
          <w:sz w:val="20"/>
          <w:szCs w:val="20"/>
        </w:rPr>
        <w:t>in orange, and those who discontinued are represented in yellow.</w:t>
      </w:r>
    </w:p>
    <w:p w14:paraId="6D775AFE" w14:textId="00FECC62" w:rsidR="006103A8" w:rsidRDefault="00A8057D" w:rsidP="007F1E72">
      <w:pPr>
        <w:jc w:val="both"/>
        <w:rPr>
          <w:rFonts w:ascii="Times New Roman" w:hAnsi="Times New Roman" w:cs="Times New Roman"/>
          <w:color w:val="000000"/>
          <w:sz w:val="20"/>
          <w:szCs w:val="20"/>
        </w:rPr>
      </w:pPr>
      <w:r w:rsidRPr="0089336D">
        <w:rPr>
          <w:rFonts w:ascii="Times New Roman" w:hAnsi="Times New Roman" w:cs="Times New Roman"/>
          <w:b/>
          <w:color w:val="000000"/>
          <w:sz w:val="20"/>
          <w:szCs w:val="20"/>
        </w:rPr>
        <w:t>Fig 3</w:t>
      </w:r>
      <w:r w:rsidR="006103A8" w:rsidRPr="0089336D">
        <w:rPr>
          <w:rFonts w:ascii="Times New Roman" w:hAnsi="Times New Roman" w:cs="Times New Roman"/>
          <w:color w:val="000000"/>
          <w:sz w:val="20"/>
          <w:szCs w:val="20"/>
        </w:rPr>
        <w:t xml:space="preserve"> Mean length of admissions per year in all patient group (n= 77) and schizophrenia group (n= 57) in the 5 years pre and post PP1M initiation</w:t>
      </w:r>
      <w:r w:rsidR="00692DF2">
        <w:rPr>
          <w:rStyle w:val="FootnoteReference"/>
          <w:rFonts w:ascii="Times New Roman" w:hAnsi="Times New Roman" w:cs="Times New Roman"/>
          <w:color w:val="000000"/>
          <w:sz w:val="20"/>
          <w:szCs w:val="20"/>
        </w:rPr>
        <w:footnoteReference w:id="3"/>
      </w:r>
      <w:r w:rsidR="00B42FAB">
        <w:rPr>
          <w:rStyle w:val="FootnoteReference"/>
          <w:rFonts w:ascii="Times New Roman" w:hAnsi="Times New Roman" w:cs="Times New Roman"/>
          <w:color w:val="000000"/>
          <w:sz w:val="20"/>
          <w:szCs w:val="20"/>
        </w:rPr>
        <w:footnoteReference w:id="4"/>
      </w:r>
    </w:p>
    <w:p w14:paraId="74920974" w14:textId="12C02458" w:rsidR="00692DF2" w:rsidRPr="0089336D" w:rsidRDefault="00692DF2" w:rsidP="007F1E72">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all patient group are represented in blue and the schizophrenia group in grey. </w:t>
      </w:r>
    </w:p>
    <w:p w14:paraId="2F018FC8" w14:textId="49F383B9" w:rsidR="006103A8" w:rsidRDefault="00A8057D" w:rsidP="007F1E72">
      <w:pPr>
        <w:jc w:val="both"/>
        <w:rPr>
          <w:rFonts w:ascii="Times New Roman" w:hAnsi="Times New Roman" w:cs="Times New Roman"/>
          <w:color w:val="000000"/>
          <w:sz w:val="20"/>
          <w:szCs w:val="20"/>
        </w:rPr>
      </w:pPr>
      <w:r w:rsidRPr="0089336D">
        <w:rPr>
          <w:rFonts w:ascii="Times New Roman" w:hAnsi="Times New Roman" w:cs="Times New Roman"/>
          <w:b/>
          <w:color w:val="000000"/>
          <w:sz w:val="20"/>
          <w:szCs w:val="20"/>
        </w:rPr>
        <w:t>Fig 4</w:t>
      </w:r>
      <w:r w:rsidR="006103A8" w:rsidRPr="0089336D">
        <w:rPr>
          <w:rFonts w:ascii="Times New Roman" w:hAnsi="Times New Roman" w:cs="Times New Roman"/>
          <w:color w:val="000000"/>
          <w:sz w:val="20"/>
          <w:szCs w:val="20"/>
        </w:rPr>
        <w:t xml:space="preserve"> Total mean length of admissions in 5 years pre and post PP1M initiation in all patient group (n=77) and schizophrenia group (n=57)</w:t>
      </w:r>
      <w:r w:rsidR="000041CE">
        <w:rPr>
          <w:rStyle w:val="FootnoteReference"/>
          <w:rFonts w:ascii="Times New Roman" w:hAnsi="Times New Roman" w:cs="Times New Roman"/>
          <w:color w:val="000000"/>
          <w:sz w:val="20"/>
          <w:szCs w:val="20"/>
        </w:rPr>
        <w:footnoteReference w:id="5"/>
      </w:r>
    </w:p>
    <w:p w14:paraId="4E4D19E5" w14:textId="77777777" w:rsidR="00B42FAB" w:rsidRPr="00DC23A4" w:rsidRDefault="00B42FAB" w:rsidP="00B42FAB">
      <w:pPr>
        <w:jc w:val="both"/>
        <w:rPr>
          <w:rFonts w:ascii="Times New Roman" w:hAnsi="Times New Roman" w:cs="Times New Roman"/>
          <w:color w:val="000000"/>
          <w:sz w:val="20"/>
          <w:szCs w:val="20"/>
        </w:rPr>
      </w:pPr>
      <w:r>
        <w:rPr>
          <w:rFonts w:ascii="Times New Roman" w:hAnsi="Times New Roman" w:cs="Times New Roman"/>
          <w:color w:val="000000"/>
          <w:sz w:val="20"/>
          <w:szCs w:val="20"/>
        </w:rPr>
        <w:t>The all patient group who continued are represented in blue and those who discontinued are represented in grey. The schizophrenia group who continued are represented in orange, and those who discontinued are represented in yellow.</w:t>
      </w:r>
    </w:p>
    <w:p w14:paraId="530AC36B" w14:textId="0E9B7CC9" w:rsidR="00B42FAB" w:rsidRDefault="00B42FAB" w:rsidP="007F1E72">
      <w:pPr>
        <w:jc w:val="both"/>
        <w:rPr>
          <w:rFonts w:ascii="Times New Roman" w:hAnsi="Times New Roman" w:cs="Times New Roman"/>
          <w:color w:val="000000"/>
          <w:sz w:val="20"/>
          <w:szCs w:val="20"/>
        </w:rPr>
      </w:pPr>
    </w:p>
    <w:p w14:paraId="7FA61266" w14:textId="77777777" w:rsidR="00692DF2" w:rsidRPr="0089336D" w:rsidRDefault="00692DF2" w:rsidP="007F1E72">
      <w:pPr>
        <w:jc w:val="both"/>
        <w:rPr>
          <w:rFonts w:ascii="Times New Roman" w:hAnsi="Times New Roman" w:cs="Times New Roman"/>
          <w:iCs/>
          <w:sz w:val="20"/>
          <w:szCs w:val="20"/>
        </w:rPr>
      </w:pPr>
    </w:p>
    <w:sectPr w:rsidR="00692DF2" w:rsidRPr="0089336D">
      <w:footerReference w:type="even" r:id="rId18"/>
      <w:footerReference w:type="default" r:id="rId19"/>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DA36" w14:textId="77777777" w:rsidR="004767D3" w:rsidRDefault="004767D3" w:rsidP="00836F64">
      <w:pPr>
        <w:spacing w:after="0" w:line="240" w:lineRule="auto"/>
      </w:pPr>
      <w:r>
        <w:separator/>
      </w:r>
    </w:p>
  </w:endnote>
  <w:endnote w:type="continuationSeparator" w:id="0">
    <w:p w14:paraId="21A293A7" w14:textId="77777777" w:rsidR="004767D3" w:rsidRDefault="004767D3" w:rsidP="008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7188061"/>
      <w:docPartObj>
        <w:docPartGallery w:val="Page Numbers (Bottom of Page)"/>
        <w:docPartUnique/>
      </w:docPartObj>
    </w:sdtPr>
    <w:sdtContent>
      <w:p w14:paraId="5C05F3A0" w14:textId="644A211F" w:rsidR="009E2E24" w:rsidRDefault="009E2E24" w:rsidP="001A5C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B5C70" w14:textId="77777777" w:rsidR="009E2E24" w:rsidRDefault="009E2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008412"/>
      <w:docPartObj>
        <w:docPartGallery w:val="Page Numbers (Bottom of Page)"/>
        <w:docPartUnique/>
      </w:docPartObj>
    </w:sdtPr>
    <w:sdtEndPr>
      <w:rPr>
        <w:noProof/>
      </w:rPr>
    </w:sdtEndPr>
    <w:sdtContent>
      <w:p w14:paraId="27DBF702" w14:textId="386D4B05" w:rsidR="009E2E24" w:rsidRDefault="009E2E24">
        <w:pPr>
          <w:pStyle w:val="Footer"/>
        </w:pPr>
        <w:r>
          <w:fldChar w:fldCharType="begin"/>
        </w:r>
        <w:r>
          <w:instrText xml:space="preserve"> PAGE   \* MERGEFORMAT </w:instrText>
        </w:r>
        <w:r>
          <w:fldChar w:fldCharType="separate"/>
        </w:r>
        <w:r w:rsidR="00AA5B69">
          <w:rPr>
            <w:noProof/>
          </w:rPr>
          <w:t>14</w:t>
        </w:r>
        <w:r>
          <w:rPr>
            <w:noProof/>
          </w:rPr>
          <w:fldChar w:fldCharType="end"/>
        </w:r>
      </w:p>
    </w:sdtContent>
  </w:sdt>
  <w:p w14:paraId="22FD2B51" w14:textId="77777777" w:rsidR="009E2E24" w:rsidRDefault="009E2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08567" w14:textId="77777777" w:rsidR="004767D3" w:rsidRDefault="004767D3" w:rsidP="00836F64">
      <w:pPr>
        <w:spacing w:after="0" w:line="240" w:lineRule="auto"/>
      </w:pPr>
      <w:r>
        <w:separator/>
      </w:r>
    </w:p>
  </w:footnote>
  <w:footnote w:type="continuationSeparator" w:id="0">
    <w:p w14:paraId="42B774D7" w14:textId="77777777" w:rsidR="004767D3" w:rsidRDefault="004767D3" w:rsidP="00836F64">
      <w:pPr>
        <w:spacing w:after="0" w:line="240" w:lineRule="auto"/>
      </w:pPr>
      <w:r>
        <w:continuationSeparator/>
      </w:r>
    </w:p>
  </w:footnote>
  <w:footnote w:id="1">
    <w:p w14:paraId="14787A55" w14:textId="52AFAC8F" w:rsidR="009E2E24" w:rsidRDefault="009E2E24">
      <w:pPr>
        <w:pStyle w:val="FootnoteText"/>
      </w:pPr>
      <w:r>
        <w:rPr>
          <w:rStyle w:val="FootnoteReference"/>
        </w:rPr>
        <w:footnoteRef/>
      </w:r>
      <w:r>
        <w:t xml:space="preserve"> Bar chart representing the mean number of admissions in both the all patient group and the schizophrenia group in each of the five years pre and post administration of PP1M</w:t>
      </w:r>
    </w:p>
    <w:p w14:paraId="387BCAE8" w14:textId="77777777" w:rsidR="009E2E24" w:rsidRDefault="009E2E24">
      <w:pPr>
        <w:pStyle w:val="FootnoteText"/>
      </w:pPr>
    </w:p>
  </w:footnote>
  <w:footnote w:id="2">
    <w:p w14:paraId="42C1375C" w14:textId="4A0A7F56" w:rsidR="009E2E24" w:rsidRDefault="009E2E24">
      <w:pPr>
        <w:pStyle w:val="FootnoteText"/>
      </w:pPr>
      <w:r>
        <w:rPr>
          <w:rStyle w:val="FootnoteReference"/>
        </w:rPr>
        <w:footnoteRef/>
      </w:r>
      <w:r>
        <w:t>pst=post y=years</w:t>
      </w:r>
    </w:p>
    <w:p w14:paraId="0FC3E81A" w14:textId="77777777" w:rsidR="009E2E24" w:rsidRDefault="009E2E24">
      <w:pPr>
        <w:pStyle w:val="FootnoteText"/>
      </w:pPr>
    </w:p>
    <w:p w14:paraId="144C6901" w14:textId="3E9D81B0" w:rsidR="009E2E24" w:rsidRDefault="009E2E24">
      <w:pPr>
        <w:pStyle w:val="FootnoteText"/>
      </w:pPr>
      <w:r w:rsidRPr="009E2E24">
        <w:rPr>
          <w:vertAlign w:val="superscript"/>
        </w:rPr>
        <w:t>e</w:t>
      </w:r>
      <w:r>
        <w:t>Bar chart representing the total mean number of admissions in the five years pre and post initiation of PP1M in the all patient group, and schizophrenia groups, both separated according to those who continued and those who discontinued.</w:t>
      </w:r>
    </w:p>
    <w:p w14:paraId="2E16D1FF" w14:textId="77777777" w:rsidR="009E2E24" w:rsidRDefault="009E2E24">
      <w:pPr>
        <w:pStyle w:val="FootnoteText"/>
      </w:pPr>
    </w:p>
  </w:footnote>
  <w:footnote w:id="3">
    <w:p w14:paraId="1226FBEC" w14:textId="5220175B" w:rsidR="009E2E24" w:rsidRDefault="009E2E24">
      <w:pPr>
        <w:pStyle w:val="FootnoteText"/>
      </w:pPr>
      <w:r>
        <w:rPr>
          <w:rStyle w:val="FootnoteReference"/>
        </w:rPr>
        <w:footnoteRef/>
      </w:r>
      <w:r>
        <w:t xml:space="preserve"> Bar chart representing the mean length of admissions in both the all patient group and the schizophrenia group in each of the five years pre and post administration of PP1M</w:t>
      </w:r>
    </w:p>
    <w:p w14:paraId="342CDC3F" w14:textId="77777777" w:rsidR="009E2E24" w:rsidRDefault="009E2E24">
      <w:pPr>
        <w:pStyle w:val="FootnoteText"/>
      </w:pPr>
    </w:p>
  </w:footnote>
  <w:footnote w:id="4">
    <w:p w14:paraId="380BCA5A" w14:textId="5FF60541" w:rsidR="009E2E24" w:rsidRDefault="009E2E24">
      <w:pPr>
        <w:pStyle w:val="FootnoteText"/>
      </w:pPr>
      <w:r>
        <w:rPr>
          <w:rStyle w:val="FootnoteReference"/>
        </w:rPr>
        <w:footnoteRef/>
      </w:r>
      <w:r>
        <w:t xml:space="preserve"> pst=post y=years</w:t>
      </w:r>
    </w:p>
    <w:p w14:paraId="7C348333" w14:textId="5D38D36E" w:rsidR="009E2E24" w:rsidRDefault="009E2E24">
      <w:pPr>
        <w:pStyle w:val="FootnoteText"/>
      </w:pPr>
    </w:p>
    <w:p w14:paraId="681411ED" w14:textId="152925BF" w:rsidR="009E2E24" w:rsidRDefault="009E2E24">
      <w:pPr>
        <w:pStyle w:val="FootnoteText"/>
      </w:pPr>
      <w:r w:rsidRPr="009E2E24">
        <w:rPr>
          <w:vertAlign w:val="superscript"/>
        </w:rPr>
        <w:t>I</w:t>
      </w:r>
      <w:r>
        <w:t xml:space="preserve"> </w:t>
      </w:r>
      <w:r w:rsidRPr="00B42FAB">
        <w:t xml:space="preserve">Bar chart representing the total mean </w:t>
      </w:r>
      <w:r>
        <w:t>length</w:t>
      </w:r>
      <w:r w:rsidRPr="00B42FAB">
        <w:t xml:space="preserve"> of admissions in the five years pre and post initiation of PP1M in the all patient group, and schizophrenia groups, both separated according to those who continued and those who discontinued.</w:t>
      </w:r>
    </w:p>
  </w:footnote>
  <w:footnote w:id="5">
    <w:p w14:paraId="27D3F7A3" w14:textId="0F42DC5B" w:rsidR="009E2E24" w:rsidRDefault="009E2E24" w:rsidP="000041CE">
      <w:pPr>
        <w:pStyle w:val="FootnoteText"/>
      </w:pPr>
      <w:r>
        <w:rPr>
          <w:rStyle w:val="FootnoteReference"/>
        </w:rPr>
        <w:footnoteRef/>
      </w:r>
      <w:r>
        <w:t xml:space="preserve"> </w:t>
      </w:r>
      <w:r>
        <w:rPr>
          <w:rFonts w:ascii="Times New Roman" w:hAnsi="Times New Roman" w:cs="Times New Roman"/>
          <w:color w:val="000000"/>
        </w:rPr>
        <w:t xml:space="preserve">Bar chart </w:t>
      </w:r>
      <w:r>
        <w:t>representing the total mean number of admissions in the five years pre and post initiation of PP1M in the all patient group, and schizophrenia groups, both separated according to those who continued and those who discontinued.</w:t>
      </w:r>
    </w:p>
    <w:p w14:paraId="5DF94B89" w14:textId="370CD817" w:rsidR="009E2E24" w:rsidRDefault="009E2E2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6319"/>
    <w:multiLevelType w:val="multilevel"/>
    <w:tmpl w:val="3D9857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1215BEE"/>
    <w:multiLevelType w:val="hybridMultilevel"/>
    <w:tmpl w:val="12A6E9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BD2FBB"/>
    <w:multiLevelType w:val="hybridMultilevel"/>
    <w:tmpl w:val="38C07F4A"/>
    <w:lvl w:ilvl="0" w:tplc="FB00B64C">
      <w:start w:val="1"/>
      <w:numFmt w:val="decimal"/>
      <w:lvlText w:val="%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F7C6F"/>
    <w:multiLevelType w:val="hybridMultilevel"/>
    <w:tmpl w:val="7D5468D0"/>
    <w:lvl w:ilvl="0" w:tplc="CC80C0F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60965"/>
    <w:multiLevelType w:val="hybridMultilevel"/>
    <w:tmpl w:val="357E9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260CA"/>
    <w:multiLevelType w:val="multilevel"/>
    <w:tmpl w:val="EFA636F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43D5D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AD6C93"/>
    <w:multiLevelType w:val="multilevel"/>
    <w:tmpl w:val="3D9857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576F76A5"/>
    <w:multiLevelType w:val="multilevel"/>
    <w:tmpl w:val="EDA69E8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9D7149"/>
    <w:multiLevelType w:val="multilevel"/>
    <w:tmpl w:val="A43650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6E8824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6B30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DE7DBF"/>
    <w:multiLevelType w:val="hybridMultilevel"/>
    <w:tmpl w:val="AA58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8922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4538EC"/>
    <w:multiLevelType w:val="multilevel"/>
    <w:tmpl w:val="DD48A104"/>
    <w:lvl w:ilvl="0">
      <w:start w:val="2"/>
      <w:numFmt w:val="decimal"/>
      <w:lvlText w:val="%1.0"/>
      <w:lvlJc w:val="left"/>
      <w:pPr>
        <w:ind w:left="720" w:hanging="720"/>
      </w:pPr>
      <w:rPr>
        <w:rFonts w:eastAsia="Calibri" w:cstheme="majorBidi" w:hint="default"/>
        <w:color w:val="365F91" w:themeColor="accent1" w:themeShade="BF"/>
      </w:rPr>
    </w:lvl>
    <w:lvl w:ilvl="1">
      <w:start w:val="1"/>
      <w:numFmt w:val="decimal"/>
      <w:lvlText w:val="%1.%2"/>
      <w:lvlJc w:val="left"/>
      <w:pPr>
        <w:ind w:left="1440" w:hanging="720"/>
      </w:pPr>
      <w:rPr>
        <w:rFonts w:eastAsia="Calibri" w:cstheme="majorBidi" w:hint="default"/>
        <w:color w:val="365F91" w:themeColor="accent1" w:themeShade="BF"/>
      </w:rPr>
    </w:lvl>
    <w:lvl w:ilvl="2">
      <w:start w:val="1"/>
      <w:numFmt w:val="decimal"/>
      <w:lvlText w:val="%1.%2.%3"/>
      <w:lvlJc w:val="left"/>
      <w:pPr>
        <w:ind w:left="2520" w:hanging="1080"/>
      </w:pPr>
      <w:rPr>
        <w:rFonts w:eastAsia="Calibri" w:cstheme="majorBidi" w:hint="default"/>
        <w:color w:val="365F91" w:themeColor="accent1" w:themeShade="BF"/>
      </w:rPr>
    </w:lvl>
    <w:lvl w:ilvl="3">
      <w:start w:val="1"/>
      <w:numFmt w:val="decimal"/>
      <w:lvlText w:val="%1.%2.%3.%4"/>
      <w:lvlJc w:val="left"/>
      <w:pPr>
        <w:ind w:left="3240" w:hanging="1080"/>
      </w:pPr>
      <w:rPr>
        <w:rFonts w:eastAsia="Calibri" w:cstheme="majorBidi" w:hint="default"/>
        <w:color w:val="365F91" w:themeColor="accent1" w:themeShade="BF"/>
      </w:rPr>
    </w:lvl>
    <w:lvl w:ilvl="4">
      <w:start w:val="1"/>
      <w:numFmt w:val="decimal"/>
      <w:lvlText w:val="%1.%2.%3.%4.%5"/>
      <w:lvlJc w:val="left"/>
      <w:pPr>
        <w:ind w:left="4320" w:hanging="1440"/>
      </w:pPr>
      <w:rPr>
        <w:rFonts w:eastAsia="Calibri" w:cstheme="majorBidi" w:hint="default"/>
        <w:color w:val="365F91" w:themeColor="accent1" w:themeShade="BF"/>
      </w:rPr>
    </w:lvl>
    <w:lvl w:ilvl="5">
      <w:start w:val="1"/>
      <w:numFmt w:val="decimal"/>
      <w:lvlText w:val="%1.%2.%3.%4.%5.%6"/>
      <w:lvlJc w:val="left"/>
      <w:pPr>
        <w:ind w:left="5400" w:hanging="1800"/>
      </w:pPr>
      <w:rPr>
        <w:rFonts w:eastAsia="Calibri" w:cstheme="majorBidi" w:hint="default"/>
        <w:color w:val="365F91" w:themeColor="accent1" w:themeShade="BF"/>
      </w:rPr>
    </w:lvl>
    <w:lvl w:ilvl="6">
      <w:start w:val="1"/>
      <w:numFmt w:val="decimal"/>
      <w:lvlText w:val="%1.%2.%3.%4.%5.%6.%7"/>
      <w:lvlJc w:val="left"/>
      <w:pPr>
        <w:ind w:left="6120" w:hanging="1800"/>
      </w:pPr>
      <w:rPr>
        <w:rFonts w:eastAsia="Calibri" w:cstheme="majorBidi" w:hint="default"/>
        <w:color w:val="365F91" w:themeColor="accent1" w:themeShade="BF"/>
      </w:rPr>
    </w:lvl>
    <w:lvl w:ilvl="7">
      <w:start w:val="1"/>
      <w:numFmt w:val="decimal"/>
      <w:lvlText w:val="%1.%2.%3.%4.%5.%6.%7.%8"/>
      <w:lvlJc w:val="left"/>
      <w:pPr>
        <w:ind w:left="7200" w:hanging="2160"/>
      </w:pPr>
      <w:rPr>
        <w:rFonts w:eastAsia="Calibri" w:cstheme="majorBidi" w:hint="default"/>
        <w:color w:val="365F91" w:themeColor="accent1" w:themeShade="BF"/>
      </w:rPr>
    </w:lvl>
    <w:lvl w:ilvl="8">
      <w:start w:val="1"/>
      <w:numFmt w:val="decimal"/>
      <w:lvlText w:val="%1.%2.%3.%4.%5.%6.%7.%8.%9"/>
      <w:lvlJc w:val="left"/>
      <w:pPr>
        <w:ind w:left="8280" w:hanging="2520"/>
      </w:pPr>
      <w:rPr>
        <w:rFonts w:eastAsia="Calibri" w:cstheme="majorBidi" w:hint="default"/>
        <w:color w:val="365F91" w:themeColor="accent1" w:themeShade="BF"/>
      </w:rPr>
    </w:lvl>
  </w:abstractNum>
  <w:abstractNum w:abstractNumId="15" w15:restartNumberingAfterBreak="0">
    <w:nsid w:val="7A3063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15"/>
  </w:num>
  <w:num w:numId="4">
    <w:abstractNumId w:val="11"/>
  </w:num>
  <w:num w:numId="5">
    <w:abstractNumId w:val="5"/>
  </w:num>
  <w:num w:numId="6">
    <w:abstractNumId w:val="7"/>
  </w:num>
  <w:num w:numId="7">
    <w:abstractNumId w:val="0"/>
  </w:num>
  <w:num w:numId="8">
    <w:abstractNumId w:val="13"/>
  </w:num>
  <w:num w:numId="9">
    <w:abstractNumId w:val="10"/>
  </w:num>
  <w:num w:numId="10">
    <w:abstractNumId w:val="6"/>
  </w:num>
  <w:num w:numId="11">
    <w:abstractNumId w:val="8"/>
  </w:num>
  <w:num w:numId="12">
    <w:abstractNumId w:val="14"/>
  </w:num>
  <w:num w:numId="13">
    <w:abstractNumId w:val="9"/>
  </w:num>
  <w:num w:numId="14">
    <w:abstractNumId w:val="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n-NZ" w:vendorID="64" w:dllVersion="131078" w:nlCheck="1" w:checkStyle="0"/>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9B"/>
    <w:rsid w:val="000041CE"/>
    <w:rsid w:val="0000566E"/>
    <w:rsid w:val="000305DE"/>
    <w:rsid w:val="00033813"/>
    <w:rsid w:val="00034270"/>
    <w:rsid w:val="00040D64"/>
    <w:rsid w:val="00044E04"/>
    <w:rsid w:val="0005170E"/>
    <w:rsid w:val="00062D31"/>
    <w:rsid w:val="00064569"/>
    <w:rsid w:val="00073D09"/>
    <w:rsid w:val="0007684C"/>
    <w:rsid w:val="00087340"/>
    <w:rsid w:val="000951CB"/>
    <w:rsid w:val="000A5C94"/>
    <w:rsid w:val="000C0F07"/>
    <w:rsid w:val="000C3033"/>
    <w:rsid w:val="000D27BF"/>
    <w:rsid w:val="000E6C65"/>
    <w:rsid w:val="000E7280"/>
    <w:rsid w:val="000F2FF9"/>
    <w:rsid w:val="000F34C3"/>
    <w:rsid w:val="00100438"/>
    <w:rsid w:val="00100A4E"/>
    <w:rsid w:val="001177C8"/>
    <w:rsid w:val="00125D8C"/>
    <w:rsid w:val="00127A82"/>
    <w:rsid w:val="001330D4"/>
    <w:rsid w:val="00133581"/>
    <w:rsid w:val="001369D2"/>
    <w:rsid w:val="00140534"/>
    <w:rsid w:val="001417A1"/>
    <w:rsid w:val="00143CD7"/>
    <w:rsid w:val="0014671C"/>
    <w:rsid w:val="00147046"/>
    <w:rsid w:val="00150531"/>
    <w:rsid w:val="00150C89"/>
    <w:rsid w:val="00161F07"/>
    <w:rsid w:val="001659C6"/>
    <w:rsid w:val="00167318"/>
    <w:rsid w:val="001678BE"/>
    <w:rsid w:val="001758CA"/>
    <w:rsid w:val="001879F3"/>
    <w:rsid w:val="001943AD"/>
    <w:rsid w:val="00196317"/>
    <w:rsid w:val="001A1207"/>
    <w:rsid w:val="001A4DF2"/>
    <w:rsid w:val="001A5C76"/>
    <w:rsid w:val="001B12C0"/>
    <w:rsid w:val="001B6B05"/>
    <w:rsid w:val="001C6604"/>
    <w:rsid w:val="001C74E1"/>
    <w:rsid w:val="001C7968"/>
    <w:rsid w:val="001E0B19"/>
    <w:rsid w:val="001E3638"/>
    <w:rsid w:val="001E4501"/>
    <w:rsid w:val="001F656E"/>
    <w:rsid w:val="00203C26"/>
    <w:rsid w:val="00211F2F"/>
    <w:rsid w:val="002224C2"/>
    <w:rsid w:val="002306A5"/>
    <w:rsid w:val="00235AF8"/>
    <w:rsid w:val="002424AF"/>
    <w:rsid w:val="00245684"/>
    <w:rsid w:val="0025040E"/>
    <w:rsid w:val="00252DFE"/>
    <w:rsid w:val="002571F0"/>
    <w:rsid w:val="002615E5"/>
    <w:rsid w:val="002634F6"/>
    <w:rsid w:val="00264ADB"/>
    <w:rsid w:val="00284709"/>
    <w:rsid w:val="0029033D"/>
    <w:rsid w:val="0029521B"/>
    <w:rsid w:val="00296219"/>
    <w:rsid w:val="00296C84"/>
    <w:rsid w:val="002C044B"/>
    <w:rsid w:val="002C2B09"/>
    <w:rsid w:val="002C6E17"/>
    <w:rsid w:val="002C721E"/>
    <w:rsid w:val="002D454E"/>
    <w:rsid w:val="002E0C96"/>
    <w:rsid w:val="002E5DA8"/>
    <w:rsid w:val="002E7351"/>
    <w:rsid w:val="00302606"/>
    <w:rsid w:val="003026DF"/>
    <w:rsid w:val="00302DC2"/>
    <w:rsid w:val="003043C2"/>
    <w:rsid w:val="0030536C"/>
    <w:rsid w:val="00316331"/>
    <w:rsid w:val="00326C12"/>
    <w:rsid w:val="00345AA1"/>
    <w:rsid w:val="00345D25"/>
    <w:rsid w:val="003469B1"/>
    <w:rsid w:val="00367FCC"/>
    <w:rsid w:val="00373D8C"/>
    <w:rsid w:val="00375F15"/>
    <w:rsid w:val="003779BC"/>
    <w:rsid w:val="00381289"/>
    <w:rsid w:val="003815EE"/>
    <w:rsid w:val="0038257B"/>
    <w:rsid w:val="003A2453"/>
    <w:rsid w:val="003A6707"/>
    <w:rsid w:val="003B4F46"/>
    <w:rsid w:val="003C00D5"/>
    <w:rsid w:val="003C114B"/>
    <w:rsid w:val="003E54B6"/>
    <w:rsid w:val="003F743B"/>
    <w:rsid w:val="00410A67"/>
    <w:rsid w:val="00427740"/>
    <w:rsid w:val="004320F8"/>
    <w:rsid w:val="00434D4D"/>
    <w:rsid w:val="00434FBE"/>
    <w:rsid w:val="004417C7"/>
    <w:rsid w:val="00441EC7"/>
    <w:rsid w:val="00441EF8"/>
    <w:rsid w:val="00445E3A"/>
    <w:rsid w:val="0046046C"/>
    <w:rsid w:val="00465574"/>
    <w:rsid w:val="004657B0"/>
    <w:rsid w:val="004767D3"/>
    <w:rsid w:val="0048543E"/>
    <w:rsid w:val="004858CA"/>
    <w:rsid w:val="00490871"/>
    <w:rsid w:val="00492198"/>
    <w:rsid w:val="00496EDB"/>
    <w:rsid w:val="004A57F9"/>
    <w:rsid w:val="004C09B4"/>
    <w:rsid w:val="004C347A"/>
    <w:rsid w:val="004C34F4"/>
    <w:rsid w:val="004D59E2"/>
    <w:rsid w:val="004D660C"/>
    <w:rsid w:val="004E271E"/>
    <w:rsid w:val="004E3050"/>
    <w:rsid w:val="004F0771"/>
    <w:rsid w:val="00500960"/>
    <w:rsid w:val="00502BB1"/>
    <w:rsid w:val="0050482D"/>
    <w:rsid w:val="00506DCE"/>
    <w:rsid w:val="00507888"/>
    <w:rsid w:val="0050796B"/>
    <w:rsid w:val="0051036C"/>
    <w:rsid w:val="0051126C"/>
    <w:rsid w:val="00516F07"/>
    <w:rsid w:val="0052557C"/>
    <w:rsid w:val="00535395"/>
    <w:rsid w:val="00535B72"/>
    <w:rsid w:val="00537DEE"/>
    <w:rsid w:val="005413DD"/>
    <w:rsid w:val="0054142A"/>
    <w:rsid w:val="005476FD"/>
    <w:rsid w:val="005518B1"/>
    <w:rsid w:val="005549C1"/>
    <w:rsid w:val="00561250"/>
    <w:rsid w:val="00574A76"/>
    <w:rsid w:val="00580C4B"/>
    <w:rsid w:val="00590190"/>
    <w:rsid w:val="005966E4"/>
    <w:rsid w:val="005967FE"/>
    <w:rsid w:val="00596A9C"/>
    <w:rsid w:val="005A1904"/>
    <w:rsid w:val="005A47F9"/>
    <w:rsid w:val="005A5FD2"/>
    <w:rsid w:val="005B1F55"/>
    <w:rsid w:val="005B50BE"/>
    <w:rsid w:val="005C2510"/>
    <w:rsid w:val="005C419B"/>
    <w:rsid w:val="005C42D2"/>
    <w:rsid w:val="005C7CFF"/>
    <w:rsid w:val="005D0193"/>
    <w:rsid w:val="005D07FB"/>
    <w:rsid w:val="005D4EA1"/>
    <w:rsid w:val="005D6EB0"/>
    <w:rsid w:val="005F504D"/>
    <w:rsid w:val="0060176D"/>
    <w:rsid w:val="00601C4C"/>
    <w:rsid w:val="006103A8"/>
    <w:rsid w:val="00626426"/>
    <w:rsid w:val="006339AA"/>
    <w:rsid w:val="00634D48"/>
    <w:rsid w:val="006417CC"/>
    <w:rsid w:val="00642A63"/>
    <w:rsid w:val="00643195"/>
    <w:rsid w:val="00657031"/>
    <w:rsid w:val="00660ADC"/>
    <w:rsid w:val="00667B81"/>
    <w:rsid w:val="006740DC"/>
    <w:rsid w:val="006750F7"/>
    <w:rsid w:val="00684DDB"/>
    <w:rsid w:val="00692265"/>
    <w:rsid w:val="00692DF2"/>
    <w:rsid w:val="00693DE9"/>
    <w:rsid w:val="00694C10"/>
    <w:rsid w:val="00695C79"/>
    <w:rsid w:val="00696A70"/>
    <w:rsid w:val="006A1263"/>
    <w:rsid w:val="006A69ED"/>
    <w:rsid w:val="006C00AF"/>
    <w:rsid w:val="006C0235"/>
    <w:rsid w:val="006C696C"/>
    <w:rsid w:val="006D1EF8"/>
    <w:rsid w:val="006D34C6"/>
    <w:rsid w:val="006D4CC1"/>
    <w:rsid w:val="006F1575"/>
    <w:rsid w:val="00702E5F"/>
    <w:rsid w:val="007031CB"/>
    <w:rsid w:val="00704E9A"/>
    <w:rsid w:val="0070610B"/>
    <w:rsid w:val="00714382"/>
    <w:rsid w:val="00715FDB"/>
    <w:rsid w:val="00716A25"/>
    <w:rsid w:val="00716A8C"/>
    <w:rsid w:val="007231FF"/>
    <w:rsid w:val="00730CFE"/>
    <w:rsid w:val="007346B0"/>
    <w:rsid w:val="00734987"/>
    <w:rsid w:val="00736850"/>
    <w:rsid w:val="00742985"/>
    <w:rsid w:val="00743DE0"/>
    <w:rsid w:val="00750C3C"/>
    <w:rsid w:val="007602EB"/>
    <w:rsid w:val="00762716"/>
    <w:rsid w:val="00772E29"/>
    <w:rsid w:val="0077456A"/>
    <w:rsid w:val="007771EC"/>
    <w:rsid w:val="00784A3F"/>
    <w:rsid w:val="007878E7"/>
    <w:rsid w:val="00796A79"/>
    <w:rsid w:val="007A0941"/>
    <w:rsid w:val="007A0E8E"/>
    <w:rsid w:val="007A13E7"/>
    <w:rsid w:val="007D1031"/>
    <w:rsid w:val="007D2BC0"/>
    <w:rsid w:val="007D5B01"/>
    <w:rsid w:val="007D7799"/>
    <w:rsid w:val="007E02C8"/>
    <w:rsid w:val="007F1488"/>
    <w:rsid w:val="007F1E72"/>
    <w:rsid w:val="007F68CA"/>
    <w:rsid w:val="00807D13"/>
    <w:rsid w:val="00825EE3"/>
    <w:rsid w:val="00826CDE"/>
    <w:rsid w:val="008325C8"/>
    <w:rsid w:val="00836F64"/>
    <w:rsid w:val="00837881"/>
    <w:rsid w:val="00843746"/>
    <w:rsid w:val="008528ED"/>
    <w:rsid w:val="0086393C"/>
    <w:rsid w:val="00877B47"/>
    <w:rsid w:val="00882731"/>
    <w:rsid w:val="008843CF"/>
    <w:rsid w:val="00884741"/>
    <w:rsid w:val="0089336D"/>
    <w:rsid w:val="008942A1"/>
    <w:rsid w:val="008A308B"/>
    <w:rsid w:val="008B00A4"/>
    <w:rsid w:val="008B299B"/>
    <w:rsid w:val="008C7FE5"/>
    <w:rsid w:val="008D2DC3"/>
    <w:rsid w:val="008D572E"/>
    <w:rsid w:val="008E0077"/>
    <w:rsid w:val="008E1EC4"/>
    <w:rsid w:val="008E4E94"/>
    <w:rsid w:val="008F59FF"/>
    <w:rsid w:val="008F5BBE"/>
    <w:rsid w:val="008F607E"/>
    <w:rsid w:val="008F66D1"/>
    <w:rsid w:val="0090061E"/>
    <w:rsid w:val="0090474F"/>
    <w:rsid w:val="009112A8"/>
    <w:rsid w:val="00915505"/>
    <w:rsid w:val="0091777D"/>
    <w:rsid w:val="00925B4E"/>
    <w:rsid w:val="00926D4D"/>
    <w:rsid w:val="009318EE"/>
    <w:rsid w:val="00932B08"/>
    <w:rsid w:val="0093526F"/>
    <w:rsid w:val="00940B61"/>
    <w:rsid w:val="00964107"/>
    <w:rsid w:val="00976EA3"/>
    <w:rsid w:val="0098053B"/>
    <w:rsid w:val="00990EFA"/>
    <w:rsid w:val="009922B5"/>
    <w:rsid w:val="00995BC7"/>
    <w:rsid w:val="009A1383"/>
    <w:rsid w:val="009A200A"/>
    <w:rsid w:val="009A5109"/>
    <w:rsid w:val="009A56C5"/>
    <w:rsid w:val="009A5906"/>
    <w:rsid w:val="009B16C8"/>
    <w:rsid w:val="009C64AC"/>
    <w:rsid w:val="009D6E66"/>
    <w:rsid w:val="009E22B1"/>
    <w:rsid w:val="009E2E24"/>
    <w:rsid w:val="009E49FB"/>
    <w:rsid w:val="009F3822"/>
    <w:rsid w:val="009F3C21"/>
    <w:rsid w:val="00A1694C"/>
    <w:rsid w:val="00A16BC1"/>
    <w:rsid w:val="00A35AA7"/>
    <w:rsid w:val="00A3786B"/>
    <w:rsid w:val="00A43560"/>
    <w:rsid w:val="00A56C4E"/>
    <w:rsid w:val="00A61EC2"/>
    <w:rsid w:val="00A61F54"/>
    <w:rsid w:val="00A63137"/>
    <w:rsid w:val="00A671C5"/>
    <w:rsid w:val="00A7016F"/>
    <w:rsid w:val="00A7112C"/>
    <w:rsid w:val="00A8057D"/>
    <w:rsid w:val="00A82C17"/>
    <w:rsid w:val="00A84261"/>
    <w:rsid w:val="00A91FC4"/>
    <w:rsid w:val="00A920F7"/>
    <w:rsid w:val="00A960BC"/>
    <w:rsid w:val="00AA3433"/>
    <w:rsid w:val="00AA5B69"/>
    <w:rsid w:val="00AB658C"/>
    <w:rsid w:val="00AC2297"/>
    <w:rsid w:val="00AC6127"/>
    <w:rsid w:val="00AD2A7F"/>
    <w:rsid w:val="00AD6F93"/>
    <w:rsid w:val="00AE0CC6"/>
    <w:rsid w:val="00AE1571"/>
    <w:rsid w:val="00AE6699"/>
    <w:rsid w:val="00AF5F31"/>
    <w:rsid w:val="00B10265"/>
    <w:rsid w:val="00B10B96"/>
    <w:rsid w:val="00B15DDB"/>
    <w:rsid w:val="00B15E59"/>
    <w:rsid w:val="00B16DC0"/>
    <w:rsid w:val="00B1716D"/>
    <w:rsid w:val="00B229B6"/>
    <w:rsid w:val="00B238C1"/>
    <w:rsid w:val="00B26479"/>
    <w:rsid w:val="00B40302"/>
    <w:rsid w:val="00B42FAB"/>
    <w:rsid w:val="00B509AA"/>
    <w:rsid w:val="00B54B43"/>
    <w:rsid w:val="00B57D99"/>
    <w:rsid w:val="00B6009A"/>
    <w:rsid w:val="00B611DB"/>
    <w:rsid w:val="00B62AD8"/>
    <w:rsid w:val="00B62B9F"/>
    <w:rsid w:val="00B63C5C"/>
    <w:rsid w:val="00B67C3D"/>
    <w:rsid w:val="00B77CBA"/>
    <w:rsid w:val="00B77D33"/>
    <w:rsid w:val="00B83C0A"/>
    <w:rsid w:val="00B86AF2"/>
    <w:rsid w:val="00B87325"/>
    <w:rsid w:val="00B87B5D"/>
    <w:rsid w:val="00B94086"/>
    <w:rsid w:val="00BA0B2F"/>
    <w:rsid w:val="00BA50B4"/>
    <w:rsid w:val="00BB0C0D"/>
    <w:rsid w:val="00BC63C4"/>
    <w:rsid w:val="00BC684D"/>
    <w:rsid w:val="00BD256A"/>
    <w:rsid w:val="00BE5954"/>
    <w:rsid w:val="00C066A8"/>
    <w:rsid w:val="00C174D2"/>
    <w:rsid w:val="00C1789B"/>
    <w:rsid w:val="00C22CE7"/>
    <w:rsid w:val="00C23759"/>
    <w:rsid w:val="00C254E9"/>
    <w:rsid w:val="00C25887"/>
    <w:rsid w:val="00C43B20"/>
    <w:rsid w:val="00C45D1D"/>
    <w:rsid w:val="00C63642"/>
    <w:rsid w:val="00C65A2D"/>
    <w:rsid w:val="00C67418"/>
    <w:rsid w:val="00C70FC1"/>
    <w:rsid w:val="00C81E32"/>
    <w:rsid w:val="00C86455"/>
    <w:rsid w:val="00C86E27"/>
    <w:rsid w:val="00C87689"/>
    <w:rsid w:val="00C904B4"/>
    <w:rsid w:val="00C91D04"/>
    <w:rsid w:val="00C93BCC"/>
    <w:rsid w:val="00CA5664"/>
    <w:rsid w:val="00CB7B83"/>
    <w:rsid w:val="00CC7ACF"/>
    <w:rsid w:val="00CD2009"/>
    <w:rsid w:val="00CD55B4"/>
    <w:rsid w:val="00CD788E"/>
    <w:rsid w:val="00CD7A77"/>
    <w:rsid w:val="00CE2DBA"/>
    <w:rsid w:val="00D029C9"/>
    <w:rsid w:val="00D0485C"/>
    <w:rsid w:val="00D05F4F"/>
    <w:rsid w:val="00D2033D"/>
    <w:rsid w:val="00D30541"/>
    <w:rsid w:val="00D3185C"/>
    <w:rsid w:val="00D324CC"/>
    <w:rsid w:val="00D34467"/>
    <w:rsid w:val="00D5734E"/>
    <w:rsid w:val="00D633B5"/>
    <w:rsid w:val="00D67671"/>
    <w:rsid w:val="00D728EC"/>
    <w:rsid w:val="00D77ABF"/>
    <w:rsid w:val="00D827E2"/>
    <w:rsid w:val="00D840E0"/>
    <w:rsid w:val="00D85998"/>
    <w:rsid w:val="00D9171F"/>
    <w:rsid w:val="00D938CA"/>
    <w:rsid w:val="00D93CA6"/>
    <w:rsid w:val="00D93F32"/>
    <w:rsid w:val="00D94078"/>
    <w:rsid w:val="00D94DE3"/>
    <w:rsid w:val="00D97C6A"/>
    <w:rsid w:val="00DA1947"/>
    <w:rsid w:val="00DB6D8A"/>
    <w:rsid w:val="00DB6FB9"/>
    <w:rsid w:val="00DC0A40"/>
    <w:rsid w:val="00DD008A"/>
    <w:rsid w:val="00DD74F8"/>
    <w:rsid w:val="00DE7E4D"/>
    <w:rsid w:val="00DF327D"/>
    <w:rsid w:val="00DF366A"/>
    <w:rsid w:val="00DF37D2"/>
    <w:rsid w:val="00E00125"/>
    <w:rsid w:val="00E11166"/>
    <w:rsid w:val="00E130A0"/>
    <w:rsid w:val="00E17030"/>
    <w:rsid w:val="00E20031"/>
    <w:rsid w:val="00E215BD"/>
    <w:rsid w:val="00E21A8E"/>
    <w:rsid w:val="00E41876"/>
    <w:rsid w:val="00E42DE6"/>
    <w:rsid w:val="00E43104"/>
    <w:rsid w:val="00E44584"/>
    <w:rsid w:val="00E45BE3"/>
    <w:rsid w:val="00E63D9C"/>
    <w:rsid w:val="00E719D6"/>
    <w:rsid w:val="00E720FC"/>
    <w:rsid w:val="00E72FA4"/>
    <w:rsid w:val="00E73274"/>
    <w:rsid w:val="00E75C14"/>
    <w:rsid w:val="00E91956"/>
    <w:rsid w:val="00E959FF"/>
    <w:rsid w:val="00E95FEF"/>
    <w:rsid w:val="00EA0863"/>
    <w:rsid w:val="00EA486D"/>
    <w:rsid w:val="00EA7FBC"/>
    <w:rsid w:val="00EB1C86"/>
    <w:rsid w:val="00EB3117"/>
    <w:rsid w:val="00EB6D49"/>
    <w:rsid w:val="00EC14A8"/>
    <w:rsid w:val="00EC1C7B"/>
    <w:rsid w:val="00EC69B9"/>
    <w:rsid w:val="00EC7CD6"/>
    <w:rsid w:val="00ED4701"/>
    <w:rsid w:val="00EF4B16"/>
    <w:rsid w:val="00EF7541"/>
    <w:rsid w:val="00F075A3"/>
    <w:rsid w:val="00F161C2"/>
    <w:rsid w:val="00F25F69"/>
    <w:rsid w:val="00F2629E"/>
    <w:rsid w:val="00F3409B"/>
    <w:rsid w:val="00F366AF"/>
    <w:rsid w:val="00F453C4"/>
    <w:rsid w:val="00F552AE"/>
    <w:rsid w:val="00F5728F"/>
    <w:rsid w:val="00F62B10"/>
    <w:rsid w:val="00F669DA"/>
    <w:rsid w:val="00F711EA"/>
    <w:rsid w:val="00F72A61"/>
    <w:rsid w:val="00F85BAC"/>
    <w:rsid w:val="00F91FE6"/>
    <w:rsid w:val="00FA3C75"/>
    <w:rsid w:val="00FB031C"/>
    <w:rsid w:val="00FB3811"/>
    <w:rsid w:val="00FC1471"/>
    <w:rsid w:val="00FC2AF7"/>
    <w:rsid w:val="00FC2C64"/>
    <w:rsid w:val="00FC356A"/>
    <w:rsid w:val="00FC591D"/>
    <w:rsid w:val="00FC75EB"/>
    <w:rsid w:val="00FD7356"/>
    <w:rsid w:val="00FE0184"/>
    <w:rsid w:val="00FE34FF"/>
    <w:rsid w:val="00FE4737"/>
    <w:rsid w:val="00FE62A6"/>
    <w:rsid w:val="00FE7089"/>
    <w:rsid w:val="00FF0D2A"/>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9D08"/>
  <w15:docId w15:val="{33C23E76-CCF1-4D0F-95AD-24F586CC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C1"/>
  </w:style>
  <w:style w:type="paragraph" w:styleId="Heading1">
    <w:name w:val="heading 1"/>
    <w:basedOn w:val="Normal"/>
    <w:next w:val="Normal"/>
    <w:link w:val="Heading1Char"/>
    <w:uiPriority w:val="9"/>
    <w:qFormat/>
    <w:rsid w:val="00FA3C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A3C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F64"/>
    <w:rPr>
      <w:rFonts w:ascii="Tahoma" w:hAnsi="Tahoma" w:cs="Tahoma"/>
      <w:sz w:val="16"/>
      <w:szCs w:val="16"/>
    </w:rPr>
  </w:style>
  <w:style w:type="paragraph" w:styleId="Header">
    <w:name w:val="header"/>
    <w:basedOn w:val="Normal"/>
    <w:link w:val="HeaderChar"/>
    <w:uiPriority w:val="99"/>
    <w:unhideWhenUsed/>
    <w:rsid w:val="0083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64"/>
  </w:style>
  <w:style w:type="paragraph" w:styleId="Footer">
    <w:name w:val="footer"/>
    <w:basedOn w:val="Normal"/>
    <w:link w:val="FooterChar"/>
    <w:uiPriority w:val="99"/>
    <w:unhideWhenUsed/>
    <w:rsid w:val="0083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64"/>
  </w:style>
  <w:style w:type="paragraph" w:styleId="NoSpacing">
    <w:name w:val="No Spacing"/>
    <w:uiPriority w:val="1"/>
    <w:qFormat/>
    <w:rsid w:val="00964107"/>
    <w:pPr>
      <w:spacing w:after="0" w:line="240" w:lineRule="auto"/>
    </w:pPr>
  </w:style>
  <w:style w:type="paragraph" w:styleId="ListParagraph">
    <w:name w:val="List Paragraph"/>
    <w:basedOn w:val="Normal"/>
    <w:uiPriority w:val="34"/>
    <w:qFormat/>
    <w:rsid w:val="008528ED"/>
    <w:pPr>
      <w:ind w:left="720"/>
      <w:contextualSpacing/>
    </w:pPr>
  </w:style>
  <w:style w:type="table" w:styleId="ListTable4-Accent3">
    <w:name w:val="List Table 4 Accent 3"/>
    <w:basedOn w:val="TableNormal"/>
    <w:uiPriority w:val="49"/>
    <w:rsid w:val="000342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Hyperlink">
    <w:name w:val="Hyperlink"/>
    <w:basedOn w:val="DefaultParagraphFont"/>
    <w:uiPriority w:val="99"/>
    <w:unhideWhenUsed/>
    <w:rsid w:val="008F607E"/>
    <w:rPr>
      <w:color w:val="0000FF" w:themeColor="hyperlink"/>
      <w:u w:val="single"/>
    </w:rPr>
  </w:style>
  <w:style w:type="character" w:styleId="PageNumber">
    <w:name w:val="page number"/>
    <w:basedOn w:val="DefaultParagraphFont"/>
    <w:uiPriority w:val="99"/>
    <w:semiHidden/>
    <w:unhideWhenUsed/>
    <w:rsid w:val="00535B72"/>
  </w:style>
  <w:style w:type="table" w:styleId="GridTable2-Accent3">
    <w:name w:val="Grid Table 2 Accent 3"/>
    <w:basedOn w:val="TableNormal"/>
    <w:uiPriority w:val="47"/>
    <w:rsid w:val="00F075A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3">
    <w:name w:val="List Table 3 Accent 3"/>
    <w:basedOn w:val="TableNormal"/>
    <w:uiPriority w:val="48"/>
    <w:rsid w:val="00AC229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FollowedHyperlink">
    <w:name w:val="FollowedHyperlink"/>
    <w:basedOn w:val="DefaultParagraphFont"/>
    <w:uiPriority w:val="99"/>
    <w:semiHidden/>
    <w:unhideWhenUsed/>
    <w:rsid w:val="00410A67"/>
    <w:rPr>
      <w:color w:val="800080" w:themeColor="followedHyperlink"/>
      <w:u w:val="single"/>
    </w:rPr>
  </w:style>
  <w:style w:type="character" w:customStyle="1" w:styleId="Heading1Char">
    <w:name w:val="Heading 1 Char"/>
    <w:basedOn w:val="DefaultParagraphFont"/>
    <w:link w:val="Heading1"/>
    <w:uiPriority w:val="9"/>
    <w:rsid w:val="00FA3C7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A3C75"/>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4A5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57F9"/>
    <w:rPr>
      <w:sz w:val="20"/>
      <w:szCs w:val="20"/>
    </w:rPr>
  </w:style>
  <w:style w:type="character" w:styleId="FootnoteReference">
    <w:name w:val="footnote reference"/>
    <w:basedOn w:val="DefaultParagraphFont"/>
    <w:uiPriority w:val="99"/>
    <w:semiHidden/>
    <w:unhideWhenUsed/>
    <w:rsid w:val="004A57F9"/>
    <w:rPr>
      <w:vertAlign w:val="superscript"/>
    </w:rPr>
  </w:style>
  <w:style w:type="paragraph" w:styleId="NormalWeb">
    <w:name w:val="Normal (Web)"/>
    <w:basedOn w:val="Normal"/>
    <w:uiPriority w:val="99"/>
    <w:semiHidden/>
    <w:unhideWhenUsed/>
    <w:rsid w:val="008D2DC3"/>
    <w:rPr>
      <w:rFonts w:ascii="Times New Roman" w:hAnsi="Times New Roman" w:cs="Times New Roman"/>
      <w:sz w:val="24"/>
      <w:szCs w:val="24"/>
    </w:rPr>
  </w:style>
  <w:style w:type="character" w:styleId="Emphasis">
    <w:name w:val="Emphasis"/>
    <w:basedOn w:val="DefaultParagraphFont"/>
    <w:uiPriority w:val="20"/>
    <w:qFormat/>
    <w:rsid w:val="004D59E2"/>
    <w:rPr>
      <w:i/>
      <w:iCs/>
    </w:rPr>
  </w:style>
  <w:style w:type="paragraph" w:styleId="Revision">
    <w:name w:val="Revision"/>
    <w:hidden/>
    <w:uiPriority w:val="99"/>
    <w:semiHidden/>
    <w:rsid w:val="00696A70"/>
    <w:pPr>
      <w:spacing w:after="0" w:line="240" w:lineRule="auto"/>
    </w:pPr>
  </w:style>
  <w:style w:type="character" w:styleId="CommentReference">
    <w:name w:val="annotation reference"/>
    <w:basedOn w:val="DefaultParagraphFont"/>
    <w:uiPriority w:val="99"/>
    <w:semiHidden/>
    <w:unhideWhenUsed/>
    <w:rsid w:val="00F72A61"/>
    <w:rPr>
      <w:sz w:val="16"/>
      <w:szCs w:val="16"/>
    </w:rPr>
  </w:style>
  <w:style w:type="paragraph" w:styleId="CommentText">
    <w:name w:val="annotation text"/>
    <w:basedOn w:val="Normal"/>
    <w:link w:val="CommentTextChar"/>
    <w:uiPriority w:val="99"/>
    <w:semiHidden/>
    <w:unhideWhenUsed/>
    <w:rsid w:val="00F72A61"/>
    <w:pPr>
      <w:spacing w:line="240" w:lineRule="auto"/>
    </w:pPr>
    <w:rPr>
      <w:sz w:val="20"/>
      <w:szCs w:val="20"/>
    </w:rPr>
  </w:style>
  <w:style w:type="character" w:customStyle="1" w:styleId="CommentTextChar">
    <w:name w:val="Comment Text Char"/>
    <w:basedOn w:val="DefaultParagraphFont"/>
    <w:link w:val="CommentText"/>
    <w:uiPriority w:val="99"/>
    <w:semiHidden/>
    <w:rsid w:val="00F72A61"/>
    <w:rPr>
      <w:sz w:val="20"/>
      <w:szCs w:val="20"/>
    </w:rPr>
  </w:style>
  <w:style w:type="paragraph" w:styleId="CommentSubject">
    <w:name w:val="annotation subject"/>
    <w:basedOn w:val="CommentText"/>
    <w:next w:val="CommentText"/>
    <w:link w:val="CommentSubjectChar"/>
    <w:uiPriority w:val="99"/>
    <w:semiHidden/>
    <w:unhideWhenUsed/>
    <w:rsid w:val="00F72A61"/>
    <w:rPr>
      <w:b/>
      <w:bCs/>
    </w:rPr>
  </w:style>
  <w:style w:type="character" w:customStyle="1" w:styleId="CommentSubjectChar">
    <w:name w:val="Comment Subject Char"/>
    <w:basedOn w:val="CommentTextChar"/>
    <w:link w:val="CommentSubject"/>
    <w:uiPriority w:val="99"/>
    <w:semiHidden/>
    <w:rsid w:val="00F72A61"/>
    <w:rPr>
      <w:b/>
      <w:bCs/>
      <w:sz w:val="20"/>
      <w:szCs w:val="20"/>
    </w:rPr>
  </w:style>
  <w:style w:type="table" w:styleId="ListTable4">
    <w:name w:val="List Table 4"/>
    <w:basedOn w:val="TableNormal"/>
    <w:uiPriority w:val="49"/>
    <w:rsid w:val="00FC2C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94D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94DE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D94D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997193">
      <w:bodyDiv w:val="1"/>
      <w:marLeft w:val="0"/>
      <w:marRight w:val="0"/>
      <w:marTop w:val="0"/>
      <w:marBottom w:val="0"/>
      <w:divBdr>
        <w:top w:val="none" w:sz="0" w:space="0" w:color="auto"/>
        <w:left w:val="none" w:sz="0" w:space="0" w:color="auto"/>
        <w:bottom w:val="none" w:sz="0" w:space="0" w:color="auto"/>
        <w:right w:val="none" w:sz="0" w:space="0" w:color="auto"/>
      </w:divBdr>
    </w:div>
    <w:div w:id="627053965">
      <w:bodyDiv w:val="1"/>
      <w:marLeft w:val="0"/>
      <w:marRight w:val="0"/>
      <w:marTop w:val="0"/>
      <w:marBottom w:val="0"/>
      <w:divBdr>
        <w:top w:val="none" w:sz="0" w:space="0" w:color="auto"/>
        <w:left w:val="none" w:sz="0" w:space="0" w:color="auto"/>
        <w:bottom w:val="none" w:sz="0" w:space="0" w:color="auto"/>
        <w:right w:val="none" w:sz="0" w:space="0" w:color="auto"/>
      </w:divBdr>
    </w:div>
    <w:div w:id="968584134">
      <w:bodyDiv w:val="1"/>
      <w:marLeft w:val="0"/>
      <w:marRight w:val="0"/>
      <w:marTop w:val="0"/>
      <w:marBottom w:val="0"/>
      <w:divBdr>
        <w:top w:val="none" w:sz="0" w:space="0" w:color="auto"/>
        <w:left w:val="none" w:sz="0" w:space="0" w:color="auto"/>
        <w:bottom w:val="none" w:sz="0" w:space="0" w:color="auto"/>
        <w:right w:val="none" w:sz="0" w:space="0" w:color="auto"/>
      </w:divBdr>
    </w:div>
    <w:div w:id="1040401213">
      <w:bodyDiv w:val="1"/>
      <w:marLeft w:val="0"/>
      <w:marRight w:val="0"/>
      <w:marTop w:val="0"/>
      <w:marBottom w:val="0"/>
      <w:divBdr>
        <w:top w:val="none" w:sz="0" w:space="0" w:color="auto"/>
        <w:left w:val="none" w:sz="0" w:space="0" w:color="auto"/>
        <w:bottom w:val="none" w:sz="0" w:space="0" w:color="auto"/>
        <w:right w:val="none" w:sz="0" w:space="0" w:color="auto"/>
      </w:divBdr>
    </w:div>
    <w:div w:id="1203594977">
      <w:bodyDiv w:val="1"/>
      <w:marLeft w:val="0"/>
      <w:marRight w:val="0"/>
      <w:marTop w:val="0"/>
      <w:marBottom w:val="0"/>
      <w:divBdr>
        <w:top w:val="none" w:sz="0" w:space="0" w:color="auto"/>
        <w:left w:val="none" w:sz="0" w:space="0" w:color="auto"/>
        <w:bottom w:val="none" w:sz="0" w:space="0" w:color="auto"/>
        <w:right w:val="none" w:sz="0" w:space="0" w:color="auto"/>
      </w:divBdr>
    </w:div>
    <w:div w:id="1625573867">
      <w:bodyDiv w:val="1"/>
      <w:marLeft w:val="0"/>
      <w:marRight w:val="0"/>
      <w:marTop w:val="0"/>
      <w:marBottom w:val="0"/>
      <w:divBdr>
        <w:top w:val="none" w:sz="0" w:space="0" w:color="auto"/>
        <w:left w:val="none" w:sz="0" w:space="0" w:color="auto"/>
        <w:bottom w:val="none" w:sz="0" w:space="0" w:color="auto"/>
        <w:right w:val="none" w:sz="0" w:space="0" w:color="auto"/>
      </w:divBdr>
    </w:div>
    <w:div w:id="21411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pappa@westlondon.nhs.uk" TargetMode="External"/><Relationship Id="rId13" Type="http://schemas.openxmlformats.org/officeDocument/2006/relationships/hyperlink" Target="https://bnf.nice.org.uk/drug/paliperidon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708/3281.32542"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sychres.2009.05.004"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doi.org/10.1016/S0140-6736(18)3227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appa@imperial.ac.uk"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75AE4-0E92-4EF6-BA15-A2A68F2F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14</Pages>
  <Words>6169</Words>
  <Characters>35167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BSMHFT</Company>
  <LinksUpToDate>false</LinksUpToDate>
  <CharactersWithSpaces>41254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Sofia Pappa</cp:lastModifiedBy>
  <cp:revision>12</cp:revision>
  <cp:lastPrinted>2020-12-22T10:47:00Z</cp:lastPrinted>
  <dcterms:created xsi:type="dcterms:W3CDTF">2022-11-10T04:17:00Z</dcterms:created>
  <dcterms:modified xsi:type="dcterms:W3CDTF">2022-11-23T13:05:00Z</dcterms:modified>
</cp:coreProperties>
</file>